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B8860B"/>
          <w:spacing w:val="40"/>
          <w:sz w:val="18"/>
          <w:szCs w:val="18"/>
        </w:rPr>
        <w:t xml:space="preserve">DELTA CHALLENGE 2026  ·  TRACK B: CRIME PREVENTION</w:t>
      </w:r>
    </w:p>
    <w:p>
      <w:pPr>
        <w:spacing w:after="30"/>
        <w:jc w:val="center"/>
      </w:pPr>
      <w:r>
        <w:rPr>
          <w:rFonts w:ascii="Calibri" w:cs="Calibri" w:eastAsia="Calibri" w:hAnsi="Calibri"/>
          <w:b/>
          <w:bCs/>
          <w:color w:val="15375E"/>
          <w:spacing w:val="20"/>
          <w:sz w:val="52"/>
          <w:szCs w:val="52"/>
        </w:rPr>
        <w:t xml:space="preserve">PROJECT SHIELD</w:t>
      </w:r>
    </w:p>
    <w:p>
      <w:pPr>
        <w:spacing w:after="140"/>
        <w:jc w:val="center"/>
      </w:pPr>
      <w:r>
        <w:rPr>
          <w:rFonts w:ascii="Calibri" w:cs="Calibri" w:eastAsia="Calibri" w:hAnsi="Calibri"/>
          <w:color w:val="B8860B"/>
          <w:sz w:val="32"/>
          <w:szCs w:val="32"/>
        </w:rPr>
        <w:t xml:space="preserve">SafeCity Guardians</w:t>
      </w:r>
    </w:p>
    <w:p>
      <w:pPr>
        <w:pBdr>
          <w:top w:val="single" w:color="15375E" w:sz="6" w:space="8"/>
        </w:pBdr>
        <w:spacing w:after="60"/>
        <w:jc w:val="center"/>
      </w:pPr>
      <w:r>
        <w:rPr>
          <w:rFonts w:ascii="Calibri" w:cs="Calibri" w:eastAsia="Calibri" w:hAnsi="Calibri"/>
          <w:i/>
          <w:iCs/>
          <w:color w:val="5A5A5A"/>
          <w:sz w:val="21"/>
          <w:szCs w:val="21"/>
        </w:rPr>
        <w:t xml:space="preserve">A youth-led Progressive Web Application that turns crime prevention from a talk into a rehearsal.</w:t>
      </w:r>
    </w:p>
    <w:p>
      <w:pPr>
        <w:spacing w:after="40"/>
      </w:pPr>
    </w:p>
    <w:tbl>
      <w:tblPr>
        <w:tblW w:type="dxa" w:w="9700"/>
        <w:tblBorders>
          <w:top w:val="single" w:color="C6CFDA" w:sz="4"/>
          <w:left w:val="single" w:color="C6CFDA" w:sz="4"/>
          <w:bottom w:val="single" w:color="C6CFDA" w:sz="4"/>
          <w:right w:val="single" w:color="C6CFDA" w:sz="4"/>
          <w:insideH w:val="single" w:color="D8DFE8" w:sz="2"/>
          <w:insideV w:val="single" w:color="D8DFE8" w:sz="2"/>
        </w:tblBorders>
      </w:tblPr>
      <w:tblGrid>
        <w:gridCol w:w="1900"/>
        <w:gridCol w:w="2950"/>
        <w:gridCol w:w="1900"/>
        <w:gridCol w:w="2950"/>
      </w:tblGrid>
      <w:tr>
        <w:trPr>
          <w:tblHeader/>
        </w:trPr>
        <w:tc>
          <w:tcPr>
            <w:tcW w:type="dxa" w:w="1900"/>
            <w:shd w:fill="15375E"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FFFFFF"/>
                <w:sz w:val="17"/>
                <w:szCs w:val="17"/>
              </w:rPr>
              <w:t xml:space="preserve">FIELD</w:t>
            </w:r>
          </w:p>
        </w:tc>
        <w:tc>
          <w:tcPr>
            <w:tcW w:type="dxa" w:w="2950"/>
            <w:shd w:fill="15375E"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FFFFFF"/>
                <w:sz w:val="17"/>
                <w:szCs w:val="17"/>
              </w:rPr>
              <w:t xml:space="preserve">DETAIL</w:t>
            </w:r>
          </w:p>
        </w:tc>
        <w:tc>
          <w:tcPr>
            <w:tcW w:type="dxa" w:w="1900"/>
            <w:shd w:fill="15375E"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FFFFFF"/>
                <w:sz w:val="17"/>
                <w:szCs w:val="17"/>
              </w:rPr>
              <w:t xml:space="preserve">FIELD</w:t>
            </w:r>
          </w:p>
        </w:tc>
        <w:tc>
          <w:tcPr>
            <w:tcW w:type="dxa" w:w="2950"/>
            <w:shd w:fill="15375E"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FFFFFF"/>
                <w:sz w:val="17"/>
                <w:szCs w:val="17"/>
              </w:rPr>
              <w:t xml:space="preserve">DETAIL</w:t>
            </w:r>
          </w:p>
        </w:tc>
      </w:tr>
      <w:tr>
        <w:tc>
          <w:tcPr>
            <w:tcW w:type="dxa" w:w="1900"/>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8"/>
                <w:szCs w:val="18"/>
              </w:rPr>
              <w:t xml:space="preserve">Team</w:t>
            </w:r>
          </w:p>
        </w:tc>
        <w:tc>
          <w:tcPr>
            <w:tcW w:type="dxa" w:w="295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8"/>
                <w:szCs w:val="18"/>
              </w:rPr>
              <w:t xml:space="preserve">SecurePi — Felicia Tan Xiu Li; Charlisa</w:t>
            </w:r>
          </w:p>
        </w:tc>
        <w:tc>
          <w:tcPr>
            <w:tcW w:type="dxa" w:w="1900"/>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8"/>
                <w:szCs w:val="18"/>
              </w:rPr>
              <w:t xml:space="preserve">Track</w:t>
            </w:r>
          </w:p>
        </w:tc>
        <w:tc>
          <w:tcPr>
            <w:tcW w:type="dxa" w:w="295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8"/>
                <w:szCs w:val="18"/>
              </w:rPr>
              <w:t xml:space="preserve">B — Crime Prevention</w:t>
            </w:r>
          </w:p>
        </w:tc>
      </w:tr>
      <w:tr>
        <w:tc>
          <w:tcPr>
            <w:tcW w:type="dxa" w:w="19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8"/>
                <w:szCs w:val="18"/>
              </w:rPr>
              <w:t xml:space="preserve">Funding requested</w:t>
            </w:r>
          </w:p>
        </w:tc>
        <w:tc>
          <w:tcPr>
            <w:tcW w:type="dxa" w:w="295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8"/>
                <w:szCs w:val="18"/>
              </w:rPr>
              <w:t xml:space="preserve">S$4,850 (lean fallback: S$3,000)</w:t>
            </w:r>
          </w:p>
        </w:tc>
        <w:tc>
          <w:tcPr>
            <w:tcW w:type="dxa" w:w="19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8"/>
                <w:szCs w:val="18"/>
              </w:rPr>
              <w:t xml:space="preserve">Duration</w:t>
            </w:r>
          </w:p>
        </w:tc>
        <w:tc>
          <w:tcPr>
            <w:tcW w:type="dxa" w:w="295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8"/>
                <w:szCs w:val="18"/>
              </w:rPr>
              <w:t xml:space="preserve">12 months</w:t>
            </w:r>
          </w:p>
        </w:tc>
      </w:tr>
      <w:tr>
        <w:tc>
          <w:tcPr>
            <w:tcW w:type="dxa" w:w="1900"/>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8"/>
                <w:szCs w:val="18"/>
              </w:rPr>
              <w:t xml:space="preserve">Format</w:t>
            </w:r>
          </w:p>
        </w:tc>
        <w:tc>
          <w:tcPr>
            <w:tcW w:type="dxa" w:w="295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8"/>
                <w:szCs w:val="18"/>
              </w:rPr>
              <w:t xml:space="preserve">Progressive Web App — installable, offline-capable</w:t>
            </w:r>
          </w:p>
        </w:tc>
        <w:tc>
          <w:tcPr>
            <w:tcW w:type="dxa" w:w="1900"/>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8"/>
                <w:szCs w:val="18"/>
              </w:rPr>
              <w:t xml:space="preserve">Beneficiaries</w:t>
            </w:r>
          </w:p>
        </w:tc>
        <w:tc>
          <w:tcPr>
            <w:tcW w:type="dxa" w:w="295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8"/>
                <w:szCs w:val="18"/>
              </w:rPr>
              <w:t xml:space="preserve">300 youths, 4 pilot sites</w:t>
            </w:r>
          </w:p>
        </w:tc>
      </w:tr>
    </w:tbl>
    <w:p>
      <w:pPr>
        <w:pStyle w:val="Heading1"/>
        <w:pBdr>
          <w:bottom w:val="single" w:color="B8860B" w:sz="8" w:space="4"/>
        </w:pBdr>
        <w:spacing w:after="110" w:before="200"/>
      </w:pPr>
      <w:r>
        <w:rPr>
          <w:rFonts w:ascii="Calibri" w:cs="Calibri" w:eastAsia="Calibri" w:hAnsi="Calibri"/>
          <w:b/>
          <w:bCs/>
          <w:color w:val="B8860B"/>
          <w:sz w:val="26"/>
          <w:szCs w:val="26"/>
        </w:rPr>
        <w:t xml:space="preserve">1.  </w:t>
      </w:r>
      <w:r>
        <w:rPr>
          <w:rFonts w:ascii="Calibri" w:cs="Calibri" w:eastAsia="Calibri" w:hAnsi="Calibri"/>
          <w:b/>
          <w:bCs/>
          <w:color w:val="15375E"/>
          <w:spacing w:val="12"/>
          <w:sz w:val="26"/>
          <w:szCs w:val="26"/>
        </w:rPr>
        <w:t xml:space="preserve">EXECUTIVE SUMMARY</w:t>
      </w:r>
    </w:p>
    <w:p>
      <w:pPr>
        <w:spacing w:after="90" w:line="250"/>
        <w:jc w:val="both"/>
      </w:pPr>
      <w:r>
        <w:rPr>
          <w:rFonts w:ascii="Calibri" w:cs="Calibri" w:eastAsia="Calibri" w:hAnsi="Calibri"/>
          <w:b w:val="false"/>
          <w:bCs w:val="false"/>
          <w:i w:val="false"/>
          <w:iCs w:val="false"/>
          <w:color w:val="222222"/>
          <w:sz w:val="20"/>
          <w:szCs w:val="20"/>
        </w:rPr>
        <w:t xml:space="preserve">Project SHIELD: SafeCity Guardians is a youth-led, youth-built crime prevention Progressive Web Application (PWA) that teaches Singapore teenagers to recognise and resist the specific pressures that precede shop theft and scam victimisation. Where conventional prevention outreach tells young people what not to do, SHIELD lets them practise the moment of choice itself — repeatedly, safely, and with consequences that behave the way real ones do.</w:t>
      </w:r>
    </w:p>
    <w:p>
      <w:pPr>
        <w:spacing w:after="90" w:line="250"/>
        <w:jc w:val="both"/>
      </w:pPr>
      <w:r>
        <w:rPr>
          <w:rFonts w:ascii="Calibri" w:cs="Calibri" w:eastAsia="Calibri" w:hAnsi="Calibri"/>
          <w:b w:val="false"/>
          <w:bCs w:val="false"/>
          <w:i w:val="false"/>
          <w:iCs w:val="false"/>
          <w:color w:val="222222"/>
          <w:sz w:val="20"/>
          <w:szCs w:val="20"/>
        </w:rPr>
        <w:t xml:space="preserve">The application merges two mechanics that rarely appear together in educational technology. The first is a branching-scenario engine in which every decision carries a delayed consequence: a risky choice pays out immediately in virtual currency or social standing, then extracts its cost several sessions later, mirroring the deferred-penalty structure of real offending and real scams. The second is a Guardian collection system — a roster of collectible characters, each embodying one prevention competency, unlocked only through demonstrated safe decision-making. Together they convert an abstract warning into a rehearsed, socially situated habit.</w:t>
      </w:r>
    </w:p>
    <w:p>
      <w:pPr>
        <w:spacing w:after="90" w:line="250"/>
        <w:jc w:val="both"/>
      </w:pPr>
      <w:r>
        <w:rPr>
          <w:rFonts w:ascii="Calibri" w:cs="Calibri" w:eastAsia="Calibri" w:hAnsi="Calibri"/>
          <w:b w:val="false"/>
          <w:bCs w:val="false"/>
          <w:i w:val="false"/>
          <w:iCs w:val="false"/>
          <w:color w:val="222222"/>
          <w:sz w:val="20"/>
          <w:szCs w:val="20"/>
        </w:rPr>
        <w:t xml:space="preserve">Critically, SHIELD is architected for the Singapore Police Force as an operational instrument rather than a one-off campaign asset. A no-code Scenario Management Portal allows crime prevention officers to author, preview, and deploy new scenarios — Flash Missions — within minutes of a new modus operandi emerging, with zero developer involvement. When a scam typology surfaces on a Monday, a Flash Mission teaching its tell-tale signs can be in students’ hands by Tuesday, closing the months-long lag that currently separates emerging threats from the material addressing them.</w:t>
      </w:r>
    </w:p>
    <w:p>
      <w:pPr>
        <w:spacing w:after="90" w:line="250"/>
        <w:jc w:val="both"/>
      </w:pPr>
      <w:r>
        <w:rPr>
          <w:rFonts w:ascii="Calibri" w:cs="Calibri" w:eastAsia="Calibri" w:hAnsi="Calibri"/>
          <w:b w:val="false"/>
          <w:bCs w:val="false"/>
          <w:i w:val="false"/>
          <w:iCs w:val="false"/>
          <w:color w:val="222222"/>
          <w:sz w:val="20"/>
          <w:szCs w:val="20"/>
        </w:rPr>
        <w:t xml:space="preserve">We request S$4,850 over twelve months to build, pilot, and evaluate SHIELD with approximately 300 youth participants across four sites, alongside a fully costed S$3,000 lean pathway that preserves the core product and the entire evaluation design. Success is measured not by downloads or impressions but by improvement in decision accuracy under simulated pressure, sustained at 30-day follow-up against a matched comparison group.</w:t>
      </w:r>
    </w:p>
    <w:p>
      <w:pPr>
        <w:pStyle w:val="Heading1"/>
        <w:pBdr>
          <w:bottom w:val="single" w:color="B8860B" w:sz="8" w:space="4"/>
        </w:pBdr>
        <w:spacing w:after="110" w:before="200"/>
      </w:pPr>
      <w:r>
        <w:rPr>
          <w:rFonts w:ascii="Calibri" w:cs="Calibri" w:eastAsia="Calibri" w:hAnsi="Calibri"/>
          <w:b/>
          <w:bCs/>
          <w:color w:val="B8860B"/>
          <w:sz w:val="26"/>
          <w:szCs w:val="26"/>
        </w:rPr>
        <w:t xml:space="preserve">2.  </w:t>
      </w:r>
      <w:r>
        <w:rPr>
          <w:rFonts w:ascii="Calibri" w:cs="Calibri" w:eastAsia="Calibri" w:hAnsi="Calibri"/>
          <w:b/>
          <w:bCs/>
          <w:color w:val="15375E"/>
          <w:spacing w:val="12"/>
          <w:sz w:val="26"/>
          <w:szCs w:val="26"/>
        </w:rPr>
        <w:t xml:space="preserve">THE ENGAGEMENT GAP</w:t>
      </w:r>
    </w:p>
    <w:p>
      <w:pPr>
        <w:spacing w:after="90" w:line="250"/>
        <w:jc w:val="both"/>
      </w:pPr>
      <w:r>
        <w:rPr>
          <w:rFonts w:ascii="Calibri" w:cs="Calibri" w:eastAsia="Calibri" w:hAnsi="Calibri"/>
          <w:b w:val="false"/>
          <w:bCs w:val="false"/>
          <w:i w:val="false"/>
          <w:iCs w:val="false"/>
          <w:color w:val="222222"/>
          <w:sz w:val="20"/>
          <w:szCs w:val="20"/>
        </w:rPr>
        <w:t xml:space="preserve">Two risk trends converge on the same age band. Shop theft remains a low-barrier, highly social, impulse-driven offence in which young people are conspicuously represented, and it is frequently a first contact with the criminal justice system rather than a considered criminal decision. Simultaneously, scams have become the dominant driver of reported crime in Singapore, and digital fluency has proven no defence — young people are heavily represented among victims of job scams, e-commerce scams, and money mule recruitment. A generation raised online is not a generation immune to online deception.</w:t>
      </w:r>
    </w:p>
    <w:p>
      <w:pPr>
        <w:spacing w:after="90" w:line="250"/>
        <w:jc w:val="both"/>
      </w:pPr>
      <w:r>
        <w:rPr>
          <w:rFonts w:ascii="Calibri" w:cs="Calibri" w:eastAsia="Calibri" w:hAnsi="Calibri"/>
          <w:b w:val="false"/>
          <w:bCs w:val="false"/>
          <w:i w:val="false"/>
          <w:iCs w:val="false"/>
          <w:color w:val="222222"/>
          <w:sz w:val="20"/>
          <w:szCs w:val="20"/>
        </w:rPr>
        <w:t xml:space="preserve">The prevention response available today is overwhelmingly passive. Assembly talks, advisories, posters, and roadshows are single-exposure, one-directional, and offer no feedback loop. A student sits, listens, and leaves. Nothing in that transaction requires them to make a decision, receive a consequence, or discover that their instinct was wrong while it is still safe to be wrong.</w:t>
      </w:r>
    </w:p>
    <w:p>
      <w:pPr>
        <w:pStyle w:val="Heading2"/>
        <w:spacing w:after="60" w:before="140"/>
      </w:pPr>
      <w:r>
        <w:rPr>
          <w:rFonts w:ascii="Calibri" w:cs="Calibri" w:eastAsia="Calibri" w:hAnsi="Calibri"/>
          <w:b/>
          <w:bCs/>
          <w:color w:val="15375E"/>
          <w:sz w:val="21"/>
          <w:szCs w:val="21"/>
        </w:rPr>
        <w:t xml:space="preserve">2.1  The gap is not knowledge — it is retrieval under pressure</w:t>
      </w:r>
    </w:p>
    <w:p>
      <w:pPr>
        <w:spacing w:after="90" w:line="250"/>
        <w:jc w:val="both"/>
      </w:pPr>
      <w:r>
        <w:rPr>
          <w:rFonts w:ascii="Calibri" w:cs="Calibri" w:eastAsia="Calibri" w:hAnsi="Calibri"/>
          <w:b w:val="false"/>
          <w:bCs w:val="false"/>
          <w:i w:val="false"/>
          <w:iCs w:val="false"/>
          <w:color w:val="222222"/>
          <w:sz w:val="20"/>
          <w:szCs w:val="20"/>
        </w:rPr>
        <w:t xml:space="preserve">Singapore youths overwhelmingly already know that shop theft is illegal and that an offer promising several hundred dollars a day for forwarding parcels is suspicious; post-talk quizzes reliably confirm it. The failure is therefore not informational but a failure of retrieval, because knowledge that has never been retrieved under load is not reliably available under load. The moment of risk is not a quiet moment of reflection — it is loud, fast, and social, and the correct answer must surface within seconds against active pressure to suppress it.</w:t>
      </w:r>
    </w:p>
    <w:p>
      <w:pPr>
        <w:spacing w:after="90" w:line="250"/>
        <w:jc w:val="both"/>
      </w:pPr>
      <w:r>
        <w:rPr>
          <w:rFonts w:ascii="Calibri" w:cs="Calibri" w:eastAsia="Calibri" w:hAnsi="Calibri"/>
          <w:b w:val="false"/>
          <w:bCs w:val="false"/>
          <w:i w:val="false"/>
          <w:iCs w:val="false"/>
          <w:color w:val="222222"/>
          <w:sz w:val="20"/>
          <w:szCs w:val="20"/>
        </w:rPr>
        <w:t xml:space="preserve">Three specific pressures define that moment, and a talk can simulate none of them:</w:t>
      </w:r>
    </w:p>
    <w:p>
      <w:pPr>
        <w:pStyle w:val="ListParagraph"/>
        <w:numPr>
          <w:ilvl w:val="0"/>
          <w:numId w:val="2"/>
        </w:numPr>
        <w:spacing w:after="55" w:line="250"/>
      </w:pPr>
      <w:r>
        <w:rPr>
          <w:rFonts w:ascii="Calibri" w:cs="Calibri" w:eastAsia="Calibri" w:hAnsi="Calibri"/>
          <w:b/>
          <w:bCs/>
          <w:color w:val="15375E"/>
          <w:sz w:val="20"/>
          <w:szCs w:val="20"/>
        </w:rPr>
        <w:t xml:space="preserve">Peer presence — </w:t>
      </w:r>
      <w:r>
        <w:rPr>
          <w:rFonts w:ascii="Calibri" w:cs="Calibri" w:eastAsia="Calibri" w:hAnsi="Calibri"/>
          <w:color w:val="222222"/>
          <w:sz w:val="20"/>
          <w:szCs w:val="20"/>
        </w:rPr>
        <w:t xml:space="preserve">a friend is watching, and refusing carries an immediate social cost that the safe choice does not offset.</w:t>
      </w:r>
    </w:p>
    <w:p>
      <w:pPr>
        <w:pStyle w:val="ListParagraph"/>
        <w:numPr>
          <w:ilvl w:val="0"/>
          <w:numId w:val="2"/>
        </w:numPr>
        <w:spacing w:after="55" w:line="250"/>
      </w:pPr>
      <w:r>
        <w:rPr>
          <w:rFonts w:ascii="Calibri" w:cs="Calibri" w:eastAsia="Calibri" w:hAnsi="Calibri"/>
          <w:b/>
          <w:bCs/>
          <w:color w:val="15375E"/>
          <w:sz w:val="20"/>
          <w:szCs w:val="20"/>
        </w:rPr>
        <w:t xml:space="preserve">Time compression — </w:t>
      </w:r>
      <w:r>
        <w:rPr>
          <w:rFonts w:ascii="Calibri" w:cs="Calibri" w:eastAsia="Calibri" w:hAnsi="Calibri"/>
          <w:color w:val="222222"/>
          <w:sz w:val="20"/>
          <w:szCs w:val="20"/>
        </w:rPr>
        <w:t xml:space="preserve">the decision window is seconds long, which forecloses deliberation and hands control to the fastest available impulse.</w:t>
      </w:r>
    </w:p>
    <w:p>
      <w:pPr>
        <w:pStyle w:val="ListParagraph"/>
        <w:numPr>
          <w:ilvl w:val="0"/>
          <w:numId w:val="2"/>
        </w:numPr>
        <w:spacing w:after="55" w:line="250"/>
      </w:pPr>
      <w:r>
        <w:rPr>
          <w:rFonts w:ascii="Calibri" w:cs="Calibri" w:eastAsia="Calibri" w:hAnsi="Calibri"/>
          <w:b/>
          <w:bCs/>
          <w:color w:val="15375E"/>
          <w:sz w:val="20"/>
          <w:szCs w:val="20"/>
        </w:rPr>
        <w:t xml:space="preserve">Delayed cost — </w:t>
      </w:r>
      <w:r>
        <w:rPr>
          <w:rFonts w:ascii="Calibri" w:cs="Calibri" w:eastAsia="Calibri" w:hAnsi="Calibri"/>
          <w:color w:val="222222"/>
          <w:sz w:val="20"/>
          <w:szCs w:val="20"/>
        </w:rPr>
        <w:t xml:space="preserve">the risky option pays now and charges later, so the reward is vivid and the penalty is abstract.</w:t>
      </w:r>
    </w:p>
    <w:p>
      <w:pPr>
        <w:spacing w:after="90" w:line="250"/>
        <w:jc w:val="both"/>
      </w:pPr>
      <w:r>
        <w:rPr>
          <w:rFonts w:ascii="Calibri" w:cs="Calibri" w:eastAsia="Calibri" w:hAnsi="Calibri"/>
          <w:b w:val="false"/>
          <w:bCs w:val="false"/>
          <w:i w:val="false"/>
          <w:iCs w:val="false"/>
          <w:color w:val="222222"/>
          <w:sz w:val="20"/>
          <w:szCs w:val="20"/>
        </w:rPr>
        <w:t xml:space="preserve">SHIELD reproduces all three pressures inside a consequence-bearing environment where failure produces a debrief instead of a police record. It gives young people somewhere to be wrong on purpose, as many times as it takes for the right answer to become the fast answer.</w:t>
      </w:r>
    </w:p>
    <w:tbl>
      <w:tblPr>
        <w:tblW w:type="dxa" w:w="9860"/>
        <w:tblBorders>
          <w:top w:val="none" w:color="FFFFFF" w:sz="0"/>
          <w:left w:val="single" w:color="B8860B" w:sz="18"/>
          <w:bottom w:val="none" w:color="FFFFFF" w:sz="0"/>
          <w:right w:val="none" w:color="FFFFFF" w:sz="0"/>
          <w:insideH w:val="none" w:color="FFFFFF" w:sz="0"/>
          <w:insideV w:val="none" w:color="FFFFFF" w:sz="0"/>
        </w:tblBorders>
      </w:tblPr>
      <w:tblGrid>
        <w:gridCol w:w="9860"/>
      </w:tblGrid>
      <w:tr>
        <w:tc>
          <w:tcPr>
            <w:tcW w:type="dxa" w:w="9860"/>
            <w:shd w:fill="FAF6EC" w:color="auto" w:val="clear"/>
            <w:tcMar>
              <w:top w:type="dxa" w:w="120"/>
              <w:left w:type="dxa" w:w="160"/>
              <w:bottom w:type="dxa" w:w="120"/>
              <w:right w:type="dxa" w:w="160"/>
            </w:tcMar>
          </w:tcPr>
          <w:p>
            <w:pPr>
              <w:spacing w:after="50"/>
            </w:pPr>
            <w:r>
              <w:rPr>
                <w:rFonts w:ascii="Calibri" w:cs="Calibri" w:eastAsia="Calibri" w:hAnsi="Calibri"/>
                <w:b/>
                <w:bCs/>
                <w:color w:val="15375E"/>
                <w:sz w:val="19"/>
                <w:szCs w:val="19"/>
              </w:rPr>
              <w:t xml:space="preserve">Why youth-led matters here</w:t>
            </w:r>
          </w:p>
          <w:p>
            <w:pPr>
              <w:spacing w:line="252"/>
              <w:jc w:val="both"/>
            </w:pPr>
            <w:r>
              <w:rPr>
                <w:rFonts w:ascii="Calibri" w:cs="Calibri" w:eastAsia="Calibri" w:hAnsi="Calibri"/>
                <w:color w:val="333333"/>
                <w:sz w:val="19"/>
                <w:szCs w:val="19"/>
              </w:rPr>
              <w:t xml:space="preserve">Team SecurePi sits inside the demographic this intervention targets. That is not a presentational advantage but a methodological one: we can calibrate tone, detect content that reads as adult-authored — the single fastest way to lose a teenage audience — and recruit peer testers who will tell us honestly when a scenario is unconvincing. Authenticity is not a nice-to-have in this space; it is the precondition for engagement.</w:t>
            </w:r>
          </w:p>
        </w:tc>
      </w:tr>
    </w:tbl>
    <w:p>
      <w:pPr>
        <w:pStyle w:val="Heading1"/>
        <w:pBdr>
          <w:bottom w:val="single" w:color="B8860B" w:sz="8" w:space="4"/>
        </w:pBdr>
        <w:spacing w:after="110" w:before="200"/>
      </w:pPr>
      <w:r>
        <w:rPr>
          <w:rFonts w:ascii="Calibri" w:cs="Calibri" w:eastAsia="Calibri" w:hAnsi="Calibri"/>
          <w:b/>
          <w:bCs/>
          <w:color w:val="B8860B"/>
          <w:sz w:val="26"/>
          <w:szCs w:val="26"/>
        </w:rPr>
        <w:t xml:space="preserve">3.  </w:t>
      </w:r>
      <w:r>
        <w:rPr>
          <w:rFonts w:ascii="Calibri" w:cs="Calibri" w:eastAsia="Calibri" w:hAnsi="Calibri"/>
          <w:b/>
          <w:bCs/>
          <w:color w:val="15375E"/>
          <w:spacing w:val="12"/>
          <w:sz w:val="26"/>
          <w:szCs w:val="26"/>
        </w:rPr>
        <w:t xml:space="preserve">THE S.H.I.E.L.D. FRAMEWORK</w:t>
      </w:r>
    </w:p>
    <w:p>
      <w:pPr>
        <w:spacing w:after="90" w:line="250"/>
        <w:jc w:val="both"/>
      </w:pPr>
      <w:r>
        <w:rPr>
          <w:rFonts w:ascii="Calibri" w:cs="Calibri" w:eastAsia="Calibri" w:hAnsi="Calibri"/>
          <w:b w:val="false"/>
          <w:bCs w:val="false"/>
          <w:i w:val="false"/>
          <w:iCs w:val="false"/>
          <w:color w:val="222222"/>
          <w:sz w:val="20"/>
          <w:szCs w:val="20"/>
        </w:rPr>
        <w:t xml:space="preserve">All educational content is structured around a six-competency framework. The framework is not branding but the working taxonomy of the system: every scenario is tagged to one or more competencies, every assessment item maps back to one, the SPF portal filters and reports by competency, and a cohort’s weakest letter becomes immediately visible in the analytics dashboard — and therefore immediately addressable with targeted content.</w:t>
      </w:r>
    </w:p>
    <w:p>
      <w:pPr>
        <w:spacing w:after="40"/>
      </w:pPr>
    </w:p>
    <w:tbl>
      <w:tblPr>
        <w:tblW w:type="dxa" w:w="9700"/>
        <w:tblBorders>
          <w:top w:val="single" w:color="C6CFDA" w:sz="4"/>
          <w:left w:val="single" w:color="C6CFDA" w:sz="4"/>
          <w:bottom w:val="single" w:color="C6CFDA" w:sz="4"/>
          <w:right w:val="single" w:color="C6CFDA" w:sz="4"/>
          <w:insideH w:val="single" w:color="D8DFE8" w:sz="2"/>
          <w:insideV w:val="single" w:color="D8DFE8" w:sz="2"/>
        </w:tblBorders>
      </w:tblPr>
      <w:tblGrid>
        <w:gridCol w:w="700"/>
        <w:gridCol w:w="2100"/>
        <w:gridCol w:w="3450"/>
        <w:gridCol w:w="3450"/>
      </w:tblGrid>
      <w:tr>
        <w:trPr>
          <w:tblHeader/>
        </w:trPr>
        <w:tc>
          <w:tcPr>
            <w:tcW w:type="dxa" w:w="700"/>
            <w:shd w:fill="15375E"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FFFFFF"/>
                <w:sz w:val="17"/>
                <w:szCs w:val="17"/>
              </w:rPr>
              <w:t xml:space="preserve"/>
            </w:r>
          </w:p>
        </w:tc>
        <w:tc>
          <w:tcPr>
            <w:tcW w:type="dxa" w:w="2100"/>
            <w:shd w:fill="15375E"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FFFFFF"/>
                <w:sz w:val="17"/>
                <w:szCs w:val="17"/>
              </w:rPr>
              <w:t xml:space="preserve">COMPETENCY</w:t>
            </w:r>
          </w:p>
        </w:tc>
        <w:tc>
          <w:tcPr>
            <w:tcW w:type="dxa" w:w="3450"/>
            <w:shd w:fill="15375E"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FFFFFF"/>
                <w:sz w:val="17"/>
                <w:szCs w:val="17"/>
              </w:rPr>
              <w:t xml:space="preserve">WHAT THE YOUTH PRACTISES</w:t>
            </w:r>
          </w:p>
        </w:tc>
        <w:tc>
          <w:tcPr>
            <w:tcW w:type="dxa" w:w="3450"/>
            <w:shd w:fill="15375E"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FFFFFF"/>
                <w:sz w:val="17"/>
                <w:szCs w:val="17"/>
              </w:rPr>
              <w:t xml:space="preserve">HOW IT IS EXPRESSED IN-APP</w:t>
            </w:r>
          </w:p>
        </w:tc>
      </w:tr>
      <w:tr>
        <w:tc>
          <w:tcPr>
            <w:tcW w:type="dxa" w:w="700"/>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S</w:t>
            </w:r>
          </w:p>
        </w:tc>
        <w:tc>
          <w:tcPr>
            <w:tcW w:type="dxa" w:w="2100"/>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Spot the Risk</w:t>
            </w:r>
          </w:p>
        </w:tc>
        <w:tc>
          <w:tcPr>
            <w:tcW w:type="dxa" w:w="345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Detecting the pre-offence or pre-scam cue before any commitment is made</w:t>
            </w:r>
          </w:p>
        </w:tc>
        <w:tc>
          <w:tcPr>
            <w:tcW w:type="dxa" w:w="345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Scenario openings seeded with risk markers; a timed "flag the cue" interaction scores detection speed and accuracy</w:t>
            </w:r>
          </w:p>
        </w:tc>
      </w:tr>
      <w:tr>
        <w:tc>
          <w:tcPr>
            <w:tcW w:type="dxa" w:w="7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H</w:t>
            </w:r>
          </w:p>
        </w:tc>
        <w:tc>
          <w:tcPr>
            <w:tcW w:type="dxa" w:w="21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Hold Before Acting</w:t>
            </w:r>
          </w:p>
        </w:tc>
        <w:tc>
          <w:tcPr>
            <w:tcW w:type="dxa" w:w="345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Inserting a deliberate pause between impulse and action</w:t>
            </w:r>
          </w:p>
        </w:tc>
        <w:tc>
          <w:tcPr>
            <w:tcW w:type="dxa" w:w="345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A Hold action is always available and always rewarded; rushed tapping incurs a scored penalty</w:t>
            </w:r>
          </w:p>
        </w:tc>
      </w:tr>
      <w:tr>
        <w:tc>
          <w:tcPr>
            <w:tcW w:type="dxa" w:w="700"/>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I</w:t>
            </w:r>
          </w:p>
        </w:tc>
        <w:tc>
          <w:tcPr>
            <w:tcW w:type="dxa" w:w="2100"/>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Identify the Influence</w:t>
            </w:r>
          </w:p>
        </w:tc>
        <w:tc>
          <w:tcPr>
            <w:tcW w:type="dxa" w:w="345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Naming the lever being pulled — dare, urgency, authority, reciprocity, belonging</w:t>
            </w:r>
          </w:p>
        </w:tc>
        <w:tc>
          <w:tcPr>
            <w:tcW w:type="dxa" w:w="345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Influence-tagging mini-mechanic; VeriFox exposes the manipulation tactic in play</w:t>
            </w:r>
          </w:p>
        </w:tc>
      </w:tr>
      <w:tr>
        <w:tc>
          <w:tcPr>
            <w:tcW w:type="dxa" w:w="7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E</w:t>
            </w:r>
          </w:p>
        </w:tc>
        <w:tc>
          <w:tcPr>
            <w:tcW w:type="dxa" w:w="21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Evaluate the Consequences</w:t>
            </w:r>
          </w:p>
        </w:tc>
        <w:tc>
          <w:tcPr>
            <w:tcW w:type="dxa" w:w="345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Tracing a decision to its second- and third-order outcomes</w:t>
            </w:r>
          </w:p>
        </w:tc>
        <w:tc>
          <w:tcPr>
            <w:tcW w:type="dxa" w:w="345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The Delayed Consequence Ledger, surfaced later via Consequence Replay</w:t>
            </w:r>
          </w:p>
        </w:tc>
      </w:tr>
      <w:tr>
        <w:tc>
          <w:tcPr>
            <w:tcW w:type="dxa" w:w="700"/>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L</w:t>
            </w:r>
          </w:p>
        </w:tc>
        <w:tc>
          <w:tcPr>
            <w:tcW w:type="dxa" w:w="2100"/>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Lead the Right Choice</w:t>
            </w:r>
          </w:p>
        </w:tc>
        <w:tc>
          <w:tcPr>
            <w:tcW w:type="dxa" w:w="345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Committing to the safe action and articulating why</w:t>
            </w:r>
          </w:p>
        </w:tc>
        <w:tc>
          <w:tcPr>
            <w:tcW w:type="dxa" w:w="345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Choice commitment paired with a short free-text justification, scored against a rubric</w:t>
            </w:r>
          </w:p>
        </w:tc>
      </w:tr>
      <w:tr>
        <w:tc>
          <w:tcPr>
            <w:tcW w:type="dxa" w:w="7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D</w:t>
            </w:r>
          </w:p>
        </w:tc>
        <w:tc>
          <w:tcPr>
            <w:tcW w:type="dxa" w:w="21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Defend Your Community</w:t>
            </w:r>
          </w:p>
        </w:tc>
        <w:tc>
          <w:tcPr>
            <w:tcW w:type="dxa" w:w="345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Intervening for others and protecting the wider group</w:t>
            </w:r>
          </w:p>
        </w:tc>
        <w:tc>
          <w:tcPr>
            <w:tcW w:type="dxa" w:w="345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Peer Shield Mode and the in-app reporting mechanic</w:t>
            </w:r>
          </w:p>
        </w:tc>
      </w:tr>
    </w:tbl>
    <w:p>
      <w:pPr>
        <w:pStyle w:val="Heading1"/>
        <w:pBdr>
          <w:bottom w:val="single" w:color="B8860B" w:sz="8" w:space="4"/>
        </w:pBdr>
        <w:spacing w:after="110" w:before="200"/>
      </w:pPr>
      <w:r>
        <w:rPr>
          <w:rFonts w:ascii="Calibri" w:cs="Calibri" w:eastAsia="Calibri" w:hAnsi="Calibri"/>
          <w:b/>
          <w:bCs/>
          <w:color w:val="B8860B"/>
          <w:sz w:val="26"/>
          <w:szCs w:val="26"/>
        </w:rPr>
        <w:t xml:space="preserve">4.  </w:t>
      </w:r>
      <w:r>
        <w:rPr>
          <w:rFonts w:ascii="Calibri" w:cs="Calibri" w:eastAsia="Calibri" w:hAnsi="Calibri"/>
          <w:b/>
          <w:bCs/>
          <w:color w:val="15375E"/>
          <w:spacing w:val="12"/>
          <w:sz w:val="26"/>
          <w:szCs w:val="26"/>
        </w:rPr>
        <w:t xml:space="preserve">CORE GAMEPLAY MECHANICS</w:t>
      </w:r>
    </w:p>
    <w:p>
      <w:pPr>
        <w:pStyle w:val="Heading2"/>
        <w:spacing w:after="60" w:before="140"/>
      </w:pPr>
      <w:r>
        <w:rPr>
          <w:rFonts w:ascii="Calibri" w:cs="Calibri" w:eastAsia="Calibri" w:hAnsi="Calibri"/>
          <w:b/>
          <w:bCs/>
          <w:color w:val="15375E"/>
          <w:sz w:val="21"/>
          <w:szCs w:val="21"/>
        </w:rPr>
        <w:t xml:space="preserve">4.1  Delayed Consequences — an honest reward curve</w:t>
      </w:r>
    </w:p>
    <w:p>
      <w:pPr>
        <w:spacing w:after="90" w:line="250"/>
        <w:jc w:val="both"/>
      </w:pPr>
      <w:r>
        <w:rPr>
          <w:rFonts w:ascii="Calibri" w:cs="Calibri" w:eastAsia="Calibri" w:hAnsi="Calibri"/>
          <w:b w:val="false"/>
          <w:bCs w:val="false"/>
          <w:i w:val="false"/>
          <w:iCs w:val="false"/>
          <w:color w:val="222222"/>
          <w:sz w:val="20"/>
          <w:szCs w:val="20"/>
        </w:rPr>
        <w:t xml:space="preserve">Most educational games punish bad choices immediately, and in doing so teach a falsehood: that risky decisions feel bad straight away. Reality is the opposite. Shop theft usually works the first time. The fraudulent investment pays its first dividend. The mule account receives its first commission. The lesson absorbed from real life is that the risky path is rewarded, and the correction arrives — if it arrives — long after the behaviour has been reinforced.</w:t>
      </w:r>
    </w:p>
    <w:p>
      <w:pPr>
        <w:spacing w:after="90" w:line="250"/>
        <w:jc w:val="both"/>
      </w:pPr>
      <w:r>
        <w:rPr>
          <w:rFonts w:ascii="Calibri" w:cs="Calibri" w:eastAsia="Calibri" w:hAnsi="Calibri"/>
          <w:b w:val="false"/>
          <w:bCs w:val="false"/>
          <w:i w:val="false"/>
          <w:iCs w:val="false"/>
          <w:color w:val="222222"/>
          <w:sz w:val="20"/>
          <w:szCs w:val="20"/>
        </w:rPr>
        <w:t xml:space="preserve">SHIELD replicates that structure deliberately. A risky choice yields an immediate, visible payoff — virtual cash, social standing, a rank increase — and the system writes a silent entry to a Consequence Ledger. Two to four sessions later a triggered event fires: a store review flags archived footage, a friend’s account is compromised by a forwarded link, the "returns" stop and the account is frozen. Consequence Replay then rewinds the player to the exact decision node and walks the branch they took beside the branch they did not.</w:t>
      </w:r>
    </w:p>
    <w:p>
      <w:pPr>
        <w:spacing w:after="90" w:line="250"/>
        <w:jc w:val="both"/>
      </w:pPr>
      <w:r>
        <w:rPr>
          <w:rFonts w:ascii="Calibri" w:cs="Calibri" w:eastAsia="Calibri" w:hAnsi="Calibri"/>
          <w:b w:val="false"/>
          <w:bCs w:val="false"/>
          <w:i w:val="false"/>
          <w:iCs w:val="false"/>
          <w:color w:val="222222"/>
          <w:sz w:val="20"/>
          <w:szCs w:val="20"/>
        </w:rPr>
        <w:t xml:space="preserve">The design intent is precise: we are not manufacturing disapproval, we are training tolerance for forgoing an immediate reward — the actual cognitive mechanism underlying self-control. A player who has repeatedly watched a payoff turn into a penalty three sessions later has built something a poster cannot build.</w:t>
      </w:r>
    </w:p>
    <w:tbl>
      <w:tblPr>
        <w:tblW w:type="dxa" w:w="9860"/>
        <w:tblBorders>
          <w:top w:val="none" w:color="FFFFFF" w:sz="0"/>
          <w:left w:val="single" w:color="B8860B" w:sz="18"/>
          <w:bottom w:val="none" w:color="FFFFFF" w:sz="0"/>
          <w:right w:val="none" w:color="FFFFFF" w:sz="0"/>
          <w:insideH w:val="none" w:color="FFFFFF" w:sz="0"/>
          <w:insideV w:val="none" w:color="FFFFFF" w:sz="0"/>
        </w:tblBorders>
      </w:tblPr>
      <w:tblGrid>
        <w:gridCol w:w="9860"/>
      </w:tblGrid>
      <w:tr>
        <w:tc>
          <w:tcPr>
            <w:tcW w:type="dxa" w:w="9860"/>
            <w:shd w:fill="FAF6EC" w:color="auto" w:val="clear"/>
            <w:tcMar>
              <w:top w:type="dxa" w:w="120"/>
              <w:left w:type="dxa" w:w="160"/>
              <w:bottom w:type="dxa" w:w="120"/>
              <w:right w:type="dxa" w:w="160"/>
            </w:tcMar>
          </w:tcPr>
          <w:p>
            <w:pPr>
              <w:spacing w:after="50"/>
            </w:pPr>
            <w:r>
              <w:rPr>
                <w:rFonts w:ascii="Calibri" w:cs="Calibri" w:eastAsia="Calibri" w:hAnsi="Calibri"/>
                <w:b/>
                <w:bCs/>
                <w:color w:val="15375E"/>
                <w:sz w:val="19"/>
                <w:szCs w:val="19"/>
              </w:rPr>
              <w:t xml:space="preserve">Safeguard against instructional risk</w:t>
            </w:r>
          </w:p>
          <w:p>
            <w:pPr>
              <w:spacing w:line="252"/>
              <w:jc w:val="both"/>
            </w:pPr>
            <w:r>
              <w:rPr>
                <w:rFonts w:ascii="Calibri" w:cs="Calibri" w:eastAsia="Calibri" w:hAnsi="Calibri"/>
                <w:color w:val="333333"/>
                <w:sz w:val="19"/>
                <w:szCs w:val="19"/>
              </w:rPr>
              <w:t xml:space="preserve">No SHIELD scenario depicts method — only context and the decision point. Across a complete narrative arc, the Consequence Ledger is mathematically constrained to resolve net-negative for every risky path, so no play pattern can make offending profitable. Every scenario passes an SPF content review gate before publication, and every risky branch terminates in an explicit debrief. These constraints are enforced in the scenario schema itself, not left to authorial discretion.</w:t>
            </w:r>
          </w:p>
        </w:tc>
      </w:tr>
    </w:tbl>
    <w:p>
      <w:pPr>
        <w:pStyle w:val="Heading2"/>
        <w:spacing w:after="60" w:before="140"/>
      </w:pPr>
      <w:r>
        <w:rPr>
          <w:rFonts w:ascii="Calibri" w:cs="Calibri" w:eastAsia="Calibri" w:hAnsi="Calibri"/>
          <w:b/>
          <w:bCs/>
          <w:color w:val="15375E"/>
          <w:sz w:val="21"/>
          <w:szCs w:val="21"/>
        </w:rPr>
        <w:t xml:space="preserve">4.2  Peer Shield Mode — from bystander to guardian</w:t>
      </w:r>
    </w:p>
    <w:p>
      <w:pPr>
        <w:spacing w:after="90" w:line="250"/>
        <w:jc w:val="both"/>
      </w:pPr>
      <w:r>
        <w:rPr>
          <w:rFonts w:ascii="Calibri" w:cs="Calibri" w:eastAsia="Calibri" w:hAnsi="Calibri"/>
          <w:b w:val="false"/>
          <w:bCs w:val="false"/>
          <w:i w:val="false"/>
          <w:iCs w:val="false"/>
          <w:color w:val="222222"/>
          <w:sz w:val="20"/>
          <w:szCs w:val="20"/>
        </w:rPr>
        <w:t xml:space="preserve">Youth offending is overwhelmingly social, yet almost all prevention material addresses the young person as offender or victim rather than as witness. In practice most teenagers know the right answer for themselves and simply have no script for a friend. Peer Shield Mode supplies that script by casting the player as observer: a friend pockets an item leaving a convenience store; a classmate forwards a job advertisement promising several hundred dollars a day for light work; a teammate is asked to lend an NRIC and bank account for a "part-time gig".</w:t>
      </w:r>
    </w:p>
    <w:p>
      <w:pPr>
        <w:spacing w:after="90" w:line="250"/>
        <w:jc w:val="both"/>
      </w:pPr>
      <w:r>
        <w:rPr>
          <w:rFonts w:ascii="Calibri" w:cs="Calibri" w:eastAsia="Calibri" w:hAnsi="Calibri"/>
          <w:b w:val="false"/>
          <w:bCs w:val="false"/>
          <w:i w:val="false"/>
          <w:iCs w:val="false"/>
          <w:color w:val="222222"/>
          <w:sz w:val="20"/>
          <w:szCs w:val="20"/>
        </w:rPr>
        <w:t xml:space="preserve">Scoring is calibrated against established bystander-intervention research. Points accrue for de-escalating language, for a private conversation over a public confrontation, for offering a face-saving exit, and for escalating to a trusted adult when the situation exceeds peer capacity. Points are deducted for silence and, equally, for shaming — an important distinction, because moralising interventions reliably fail and often entrench the behaviour. An asynchronous class variant shows a cohort the anonymised distribution of the strategies their peers chose, surfacing the pluralistic ignorance that keeps bystanders silent.</w:t>
      </w:r>
    </w:p>
    <w:p>
      <w:pPr>
        <w:pStyle w:val="Heading2"/>
        <w:spacing w:after="60" w:before="140"/>
      </w:pPr>
      <w:r>
        <w:rPr>
          <w:rFonts w:ascii="Calibri" w:cs="Calibri" w:eastAsia="Calibri" w:hAnsi="Calibri"/>
          <w:b/>
          <w:bCs/>
          <w:color w:val="15375E"/>
          <w:sz w:val="21"/>
          <w:szCs w:val="21"/>
        </w:rPr>
        <w:t xml:space="preserve">4.3  The Guardian System — progression that enforces distributed practice</w:t>
      </w:r>
    </w:p>
    <w:p>
      <w:pPr>
        <w:spacing w:after="90" w:line="250"/>
        <w:jc w:val="both"/>
      </w:pPr>
      <w:r>
        <w:rPr>
          <w:rFonts w:ascii="Calibri" w:cs="Calibri" w:eastAsia="Calibri" w:hAnsi="Calibri"/>
          <w:b w:val="false"/>
          <w:bCs w:val="false"/>
          <w:i w:val="false"/>
          <w:iCs w:val="false"/>
          <w:color w:val="222222"/>
          <w:sz w:val="20"/>
          <w:szCs w:val="20"/>
        </w:rPr>
        <w:t xml:space="preserve">Safe and skilful choices yield Shield Fragments, which unlock and level Guardian characters. Each Guardian personifies exactly one S.H.I.E.L.D. competency, and levelling one requires demonstrating that competency across varied contexts rather than repeating a single scenario. Collection pressure therefore drives spaced, distributed practice — the retrieval pattern with the strongest evidence base for durable retention — rather than grinding. Each Guardian also grants a limited in-scenario assist, a designed incentive to keep practising precisely the competencies a player is weakest at.</w:t>
      </w:r>
    </w:p>
    <w:p>
      <w:pPr>
        <w:spacing w:after="40"/>
      </w:pPr>
    </w:p>
    <w:tbl>
      <w:tblPr>
        <w:tblW w:type="dxa" w:w="9700"/>
        <w:tblBorders>
          <w:top w:val="single" w:color="C6CFDA" w:sz="4"/>
          <w:left w:val="single" w:color="C6CFDA" w:sz="4"/>
          <w:bottom w:val="single" w:color="C6CFDA" w:sz="4"/>
          <w:right w:val="single" w:color="C6CFDA" w:sz="4"/>
          <w:insideH w:val="single" w:color="D8DFE8" w:sz="2"/>
          <w:insideV w:val="single" w:color="D8DFE8" w:sz="2"/>
        </w:tblBorders>
      </w:tblPr>
      <w:tblGrid>
        <w:gridCol w:w="2000"/>
        <w:gridCol w:w="620"/>
        <w:gridCol w:w="3540"/>
        <w:gridCol w:w="3540"/>
      </w:tblGrid>
      <w:tr>
        <w:trPr>
          <w:tblHeader/>
        </w:trPr>
        <w:tc>
          <w:tcPr>
            <w:tcW w:type="dxa" w:w="2000"/>
            <w:shd w:fill="15375E"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FFFFFF"/>
                <w:sz w:val="17"/>
                <w:szCs w:val="17"/>
              </w:rPr>
              <w:t xml:space="preserve">GUARDIAN</w:t>
            </w:r>
          </w:p>
        </w:tc>
        <w:tc>
          <w:tcPr>
            <w:tcW w:type="dxa" w:w="620"/>
            <w:shd w:fill="15375E"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FFFFFF"/>
                <w:sz w:val="17"/>
                <w:szCs w:val="17"/>
              </w:rPr>
              <w:t xml:space="preserve">S.H.I.E.L.D.</w:t>
            </w:r>
          </w:p>
        </w:tc>
        <w:tc>
          <w:tcPr>
            <w:tcW w:type="dxa" w:w="3540"/>
            <w:shd w:fill="15375E"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FFFFFF"/>
                <w:sz w:val="17"/>
                <w:szCs w:val="17"/>
              </w:rPr>
              <w:t xml:space="preserve">PREVENTION SKILL EMBODIED</w:t>
            </w:r>
          </w:p>
        </w:tc>
        <w:tc>
          <w:tcPr>
            <w:tcW w:type="dxa" w:w="3540"/>
            <w:shd w:fill="15375E"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FFFFFF"/>
                <w:sz w:val="17"/>
                <w:szCs w:val="17"/>
              </w:rPr>
              <w:t xml:space="preserve">IN-SCENARIO ASSIST</w:t>
            </w:r>
          </w:p>
        </w:tc>
      </w:tr>
      <w:tr>
        <w:tc>
          <w:tcPr>
            <w:tcW w:type="dxa" w:w="2000"/>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Scout Hawk</w:t>
            </w:r>
          </w:p>
        </w:tc>
        <w:tc>
          <w:tcPr>
            <w:tcW w:type="dxa" w:w="62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S</w:t>
            </w:r>
          </w:p>
        </w:tc>
        <w:tc>
          <w:tcPr>
            <w:tcW w:type="dxa" w:w="354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Situational scanning and cue detection</w:t>
            </w:r>
          </w:p>
        </w:tc>
        <w:tc>
          <w:tcPr>
            <w:tcW w:type="dxa" w:w="354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Highlights one risk marker the player missed</w:t>
            </w:r>
          </w:p>
        </w:tc>
      </w:tr>
      <w:tr>
        <w:tc>
          <w:tcPr>
            <w:tcW w:type="dxa" w:w="20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Anchor Otter</w:t>
            </w:r>
          </w:p>
        </w:tc>
        <w:tc>
          <w:tcPr>
            <w:tcW w:type="dxa" w:w="62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H</w:t>
            </w:r>
          </w:p>
        </w:tc>
        <w:tc>
          <w:tcPr>
            <w:tcW w:type="dxa" w:w="354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Impulse delay and cooling-off</w:t>
            </w:r>
          </w:p>
        </w:tc>
        <w:tc>
          <w:tcPr>
            <w:tcW w:type="dxa" w:w="354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Grants a ten-second extension before commit</w:t>
            </w:r>
          </w:p>
        </w:tc>
      </w:tr>
      <w:tr>
        <w:tc>
          <w:tcPr>
            <w:tcW w:type="dxa" w:w="2000"/>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VeriFox</w:t>
            </w:r>
          </w:p>
        </w:tc>
        <w:tc>
          <w:tcPr>
            <w:tcW w:type="dxa" w:w="62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I</w:t>
            </w:r>
          </w:p>
        </w:tc>
        <w:tc>
          <w:tcPr>
            <w:tcW w:type="dxa" w:w="354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Verification and manipulation detection</w:t>
            </w:r>
          </w:p>
        </w:tc>
        <w:tc>
          <w:tcPr>
            <w:tcW w:type="dxa" w:w="354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Names the influence tactic currently in play</w:t>
            </w:r>
          </w:p>
        </w:tc>
      </w:tr>
      <w:tr>
        <w:tc>
          <w:tcPr>
            <w:tcW w:type="dxa" w:w="20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Echo Elephant</w:t>
            </w:r>
          </w:p>
        </w:tc>
        <w:tc>
          <w:tcPr>
            <w:tcW w:type="dxa" w:w="62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E</w:t>
            </w:r>
          </w:p>
        </w:tc>
        <w:tc>
          <w:tcPr>
            <w:tcW w:type="dxa" w:w="354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Consequence forecasting and outcome memory</w:t>
            </w:r>
          </w:p>
        </w:tc>
        <w:tc>
          <w:tcPr>
            <w:tcW w:type="dxa" w:w="354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Previews one second-order consequence</w:t>
            </w:r>
          </w:p>
        </w:tc>
      </w:tr>
      <w:tr>
        <w:tc>
          <w:tcPr>
            <w:tcW w:type="dxa" w:w="2000"/>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Compass Crane</w:t>
            </w:r>
          </w:p>
        </w:tc>
        <w:tc>
          <w:tcPr>
            <w:tcW w:type="dxa" w:w="62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L</w:t>
            </w:r>
          </w:p>
        </w:tc>
        <w:tc>
          <w:tcPr>
            <w:tcW w:type="dxa" w:w="354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Values-based commitment to the safe choice</w:t>
            </w:r>
          </w:p>
        </w:tc>
        <w:tc>
          <w:tcPr>
            <w:tcW w:type="dxa" w:w="354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Restores one lost Integrity point</w:t>
            </w:r>
          </w:p>
        </w:tc>
      </w:tr>
      <w:tr>
        <w:tc>
          <w:tcPr>
            <w:tcW w:type="dxa" w:w="20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Bastion Bear</w:t>
            </w:r>
          </w:p>
        </w:tc>
        <w:tc>
          <w:tcPr>
            <w:tcW w:type="dxa" w:w="62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D</w:t>
            </w:r>
          </w:p>
        </w:tc>
        <w:tc>
          <w:tcPr>
            <w:tcW w:type="dxa" w:w="354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Bystander intervention and community defence</w:t>
            </w:r>
          </w:p>
        </w:tc>
        <w:tc>
          <w:tcPr>
            <w:tcW w:type="dxa" w:w="354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Unlocks an additional Peer Shield option</w:t>
            </w:r>
          </w:p>
        </w:tc>
      </w:tr>
    </w:tbl>
    <w:p>
      <w:pPr>
        <w:spacing w:after="40"/>
      </w:pPr>
    </w:p>
    <w:p>
      <w:pPr>
        <w:spacing w:after="90" w:line="250"/>
        <w:jc w:val="both"/>
      </w:pPr>
      <w:r>
        <w:rPr>
          <w:rFonts w:ascii="Calibri" w:cs="Calibri" w:eastAsia="Calibri" w:hAnsi="Calibri"/>
          <w:b w:val="false"/>
          <w:bCs w:val="false"/>
          <w:i/>
          <w:iCs/>
          <w:color w:val="5A5A5A"/>
          <w:sz w:val="18"/>
          <w:szCs w:val="18"/>
        </w:rPr>
        <w:t xml:space="preserve">Guardian visual design and naming will be co-designed with pilot participants in Months 1–2; the roster above is our launch specification and the competency mapping is fixed.</w:t>
      </w:r>
    </w:p>
    <w:p>
      <w:pPr>
        <w:pStyle w:val="Heading1"/>
        <w:pBdr>
          <w:bottom w:val="single" w:color="B8860B" w:sz="8" w:space="4"/>
        </w:pBdr>
        <w:spacing w:after="110" w:before="200"/>
      </w:pPr>
      <w:r>
        <w:rPr>
          <w:rFonts w:ascii="Calibri" w:cs="Calibri" w:eastAsia="Calibri" w:hAnsi="Calibri"/>
          <w:b/>
          <w:bCs/>
          <w:color w:val="B8860B"/>
          <w:sz w:val="26"/>
          <w:szCs w:val="26"/>
        </w:rPr>
        <w:t xml:space="preserve">5.  </w:t>
      </w:r>
      <w:r>
        <w:rPr>
          <w:rFonts w:ascii="Calibri" w:cs="Calibri" w:eastAsia="Calibri" w:hAnsi="Calibri"/>
          <w:b/>
          <w:bCs/>
          <w:color w:val="15375E"/>
          <w:spacing w:val="12"/>
          <w:sz w:val="26"/>
          <w:szCs w:val="26"/>
        </w:rPr>
        <w:t xml:space="preserve">TECHNICAL ARCHITECTURE AND THE SCENARIO MANAGEMENT PORTAL</w:t>
      </w:r>
    </w:p>
    <w:p>
      <w:pPr>
        <w:spacing w:after="90" w:line="250"/>
        <w:jc w:val="both"/>
      </w:pPr>
      <w:r>
        <w:rPr>
          <w:rFonts w:ascii="Calibri" w:cs="Calibri" w:eastAsia="Calibri" w:hAnsi="Calibri"/>
          <w:b w:val="false"/>
          <w:bCs w:val="false"/>
          <w:i w:val="false"/>
          <w:iCs w:val="false"/>
          <w:color w:val="222222"/>
          <w:sz w:val="20"/>
          <w:szCs w:val="20"/>
        </w:rPr>
        <w:t xml:space="preserve">SHIELD is a Progressive Web Application built on a React and TypeScript frontend with a Node.js and TypeScript service layer. The choice of PWA over native is operationally significant: it installs to the home screen, works offline through a service worker that caches scenarios locally, updates instantly without an app-store review cycle, and — decisively for school deployment — requires no app-store install, which device management policy frequently blocks.</w:t>
      </w:r>
    </w:p>
    <w:p>
      <w:pPr>
        <w:spacing w:after="90" w:line="250"/>
        <w:jc w:val="both"/>
      </w:pPr>
      <w:r>
        <w:rPr>
          <w:rFonts w:ascii="Calibri" w:cs="Calibri" w:eastAsia="Calibri" w:hAnsi="Calibri"/>
          <w:b w:val="false"/>
          <w:bCs w:val="false"/>
          <w:i w:val="false"/>
          <w:iCs w:val="false"/>
          <w:color w:val="222222"/>
          <w:sz w:val="20"/>
          <w:szCs w:val="20"/>
        </w:rPr>
        <w:t xml:space="preserve">The backend uses Fastify on Node.js with PostgreSQL via Prisma and Redis for session state and leaderboards. The single most important architectural decision is that scenarios are content, not code: each is stored as a versioned JSON document validated against a published schema, with branching structure, competency tags, reward values, and delayed-consequence triggers all expressed as data. This is what makes a genuinely no-code authoring portal possible rather than merely aspirational.</w:t>
      </w:r>
    </w:p>
    <w:p>
      <w:pPr>
        <w:pStyle w:val="Heading2"/>
        <w:spacing w:after="60" w:before="140"/>
      </w:pPr>
      <w:r>
        <w:rPr>
          <w:rFonts w:ascii="Calibri" w:cs="Calibri" w:eastAsia="Calibri" w:hAnsi="Calibri"/>
          <w:b/>
          <w:bCs/>
          <w:color w:val="15375E"/>
          <w:sz w:val="21"/>
          <w:szCs w:val="21"/>
        </w:rPr>
        <w:t xml:space="preserve">5.1  The Scenario Management Portal</w:t>
      </w:r>
    </w:p>
    <w:p>
      <w:pPr>
        <w:spacing w:after="90" w:line="250"/>
        <w:jc w:val="both"/>
      </w:pPr>
      <w:r>
        <w:rPr>
          <w:rFonts w:ascii="Calibri" w:cs="Calibri" w:eastAsia="Calibri" w:hAnsi="Calibri"/>
          <w:b w:val="false"/>
          <w:bCs w:val="false"/>
          <w:i w:val="false"/>
          <w:iCs w:val="false"/>
          <w:color w:val="222222"/>
          <w:sz w:val="20"/>
          <w:szCs w:val="20"/>
        </w:rPr>
        <w:t xml:space="preserve">The portal is a role-based interface designed for SPF crime prevention officers with no technical background. It provides a visual branching editor in which decision nodes are dragged and connected, inline S.H.I.E.L.D. competency tagging, plain-language configuration of delayed-consequence triggers, and a preview-as-player sandbox for testing a scenario end to end before anyone sees it. Publication supports staged rollout by cohort, site, or nationally; scheduled release; one-click rollback; and a full version history with an audit trail.</w:t>
      </w:r>
    </w:p>
    <w:p>
      <w:pPr>
        <w:spacing w:after="90" w:line="250"/>
        <w:jc w:val="both"/>
      </w:pPr>
      <w:r>
        <w:rPr>
          <w:rFonts w:ascii="Calibri" w:cs="Calibri" w:eastAsia="Calibri" w:hAnsi="Calibri"/>
          <w:b w:val="false"/>
          <w:bCs w:val="false"/>
          <w:i w:val="false"/>
          <w:iCs w:val="false"/>
          <w:color w:val="222222"/>
          <w:sz w:val="20"/>
          <w:szCs w:val="20"/>
        </w:rPr>
        <w:t xml:space="preserve">Flash Missions are the portal’s headline capability: time-boxed scenarios with their own reward multiplier and push notification, publishable end to end in under thirty minutes by a non-technical officer. Our operational target is under twenty-four hours from a new modus operandi being identified to a Flash Mission teaching it going live.</w:t>
      </w:r>
    </w:p>
    <w:p>
      <w:pPr>
        <w:pStyle w:val="Heading2"/>
        <w:spacing w:after="60" w:before="140"/>
      </w:pPr>
      <w:r>
        <w:rPr>
          <w:rFonts w:ascii="Calibri" w:cs="Calibri" w:eastAsia="Calibri" w:hAnsi="Calibri"/>
          <w:b/>
          <w:bCs/>
          <w:color w:val="15375E"/>
          <w:sz w:val="21"/>
          <w:szCs w:val="21"/>
        </w:rPr>
        <w:t xml:space="preserve">5.2  Data protection, security, and accessibility</w:t>
      </w:r>
    </w:p>
    <w:p>
      <w:pPr>
        <w:spacing w:after="90" w:line="250"/>
        <w:jc w:val="both"/>
      </w:pPr>
      <w:r>
        <w:rPr>
          <w:rFonts w:ascii="Calibri" w:cs="Calibri" w:eastAsia="Calibri" w:hAnsi="Calibri"/>
          <w:b w:val="false"/>
          <w:bCs w:val="false"/>
          <w:i w:val="false"/>
          <w:iCs w:val="false"/>
          <w:color w:val="222222"/>
          <w:sz w:val="20"/>
          <w:szCs w:val="20"/>
        </w:rPr>
        <w:t xml:space="preserve">Because the user base is predominantly minors, the data model is deliberately minimal. Accounts are pseudonymous — a display handle plus a school or cohort code, no legal names. The application collects no location data, requests no contact-list access, and stores no free text beyond scored justifications. Data is encrypted in transit and at rest under a defined retention and deletion schedule, and the SPF-facing analytics layer exposes aggregated cohort statistics only, never individual behavioural records. A parental consent workflow gates under-18 participation in line with PDPA obligations. We will complete an OWASP ASVS Level 1 self-assessment before the pilot and commission an external security review before any wider rollout. The interface targets WCAG 2.1 AA, includes a low-bandwidth mode, and is tested on entry-level Android hardware; the content model is internationalised from day one for Mandarin, Malay, and Tamil.</w:t>
      </w:r>
    </w:p>
    <w:p>
      <w:pPr>
        <w:pStyle w:val="Heading1"/>
        <w:pBdr>
          <w:bottom w:val="single" w:color="B8860B" w:sz="8" w:space="4"/>
        </w:pBdr>
        <w:spacing w:after="110" w:before="200"/>
      </w:pPr>
      <w:r>
        <w:rPr>
          <w:rFonts w:ascii="Calibri" w:cs="Calibri" w:eastAsia="Calibri" w:hAnsi="Calibri"/>
          <w:b/>
          <w:bCs/>
          <w:color w:val="B8860B"/>
          <w:sz w:val="26"/>
          <w:szCs w:val="26"/>
        </w:rPr>
        <w:t xml:space="preserve">6.  </w:t>
      </w:r>
      <w:r>
        <w:rPr>
          <w:rFonts w:ascii="Calibri" w:cs="Calibri" w:eastAsia="Calibri" w:hAnsi="Calibri"/>
          <w:b/>
          <w:bCs/>
          <w:color w:val="15375E"/>
          <w:spacing w:val="12"/>
          <w:sz w:val="26"/>
          <w:szCs w:val="26"/>
        </w:rPr>
        <w:t xml:space="preserve">BUDGET</w:t>
      </w:r>
    </w:p>
    <w:p>
      <w:pPr>
        <w:spacing w:after="90" w:line="250"/>
        <w:jc w:val="both"/>
      </w:pPr>
      <w:r>
        <w:rPr>
          <w:rFonts w:ascii="Calibri" w:cs="Calibri" w:eastAsia="Calibri" w:hAnsi="Calibri"/>
          <w:b w:val="false"/>
          <w:bCs w:val="false"/>
          <w:i w:val="false"/>
          <w:iCs w:val="false"/>
          <w:color w:val="222222"/>
          <w:sz w:val="20"/>
          <w:szCs w:val="20"/>
        </w:rPr>
        <w:t xml:space="preserve">The requested S$4,850 funds the three things a volunteer team cannot absorb: infrastructure that must stay reliable for twelve months, the logistics of running a real pilot in real schools, and an evaluation rigorous enough to be trusted. All development labour is contributed by the team at no cost to the grant.</w:t>
      </w:r>
    </w:p>
    <w:p>
      <w:pPr>
        <w:spacing w:after="40"/>
      </w:pPr>
    </w:p>
    <w:tbl>
      <w:tblPr>
        <w:tblW w:type="dxa" w:w="9700"/>
        <w:tblBorders>
          <w:top w:val="single" w:color="C6CFDA" w:sz="4"/>
          <w:left w:val="single" w:color="C6CFDA" w:sz="4"/>
          <w:bottom w:val="single" w:color="C6CFDA" w:sz="4"/>
          <w:right w:val="single" w:color="C6CFDA" w:sz="4"/>
          <w:insideH w:val="single" w:color="D8DFE8" w:sz="2"/>
          <w:insideV w:val="single" w:color="D8DFE8" w:sz="2"/>
        </w:tblBorders>
      </w:tblPr>
      <w:tblGrid>
        <w:gridCol w:w="3900"/>
        <w:gridCol w:w="4400"/>
        <w:gridCol w:w="1400"/>
      </w:tblGrid>
      <w:tr>
        <w:trPr>
          <w:tblHeader/>
        </w:trPr>
        <w:tc>
          <w:tcPr>
            <w:tcW w:type="dxa" w:w="3900"/>
            <w:shd w:fill="15375E"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FFFFFF"/>
                <w:sz w:val="17"/>
                <w:szCs w:val="17"/>
              </w:rPr>
              <w:t xml:space="preserve">LINE ITEM</w:t>
            </w:r>
          </w:p>
        </w:tc>
        <w:tc>
          <w:tcPr>
            <w:tcW w:type="dxa" w:w="4400"/>
            <w:shd w:fill="15375E"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FFFFFF"/>
                <w:sz w:val="17"/>
                <w:szCs w:val="17"/>
              </w:rPr>
              <w:t xml:space="preserve">DETAIL</w:t>
            </w:r>
          </w:p>
        </w:tc>
        <w:tc>
          <w:tcPr>
            <w:tcW w:type="dxa" w:w="1400"/>
            <w:shd w:fill="15375E"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FFFFFF"/>
                <w:sz w:val="17"/>
                <w:szCs w:val="17"/>
              </w:rPr>
              <w:t xml:space="preserve">AMOUNT (S$)</w:t>
            </w:r>
          </w:p>
        </w:tc>
      </w:tr>
      <w:tr>
        <w:tc>
          <w:tcPr>
            <w:tcW w:type="dxa" w:w="3900"/>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Cloud hosting and infrastructure</w:t>
            </w:r>
          </w:p>
        </w:tc>
        <w:tc>
          <w:tcPr>
            <w:tcW w:type="dxa" w:w="440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Application hosting, managed PostgreSQL, Redis, CDN and backups — 12 months</w:t>
            </w:r>
          </w:p>
        </w:tc>
        <w:tc>
          <w:tcPr>
            <w:tcW w:type="dxa" w:w="1400"/>
            <w:tcMar>
              <w:top w:type="dxa" w:w="45"/>
              <w:left w:type="dxa" w:w="95"/>
              <w:bottom w:type="dxa" w:w="45"/>
              <w:right w:type="dxa" w:w="95"/>
            </w:tcMar>
            <w:vAlign w:val="center"/>
          </w:tcPr>
          <w:p>
            <w:pPr>
              <w:spacing w:after="25" w:before="25" w:line="235"/>
              <w:jc w:val="right"/>
            </w:pPr>
            <w:r>
              <w:rPr>
                <w:rFonts w:ascii="Calibri" w:cs="Calibri" w:eastAsia="Calibri" w:hAnsi="Calibri"/>
                <w:b w:val="false"/>
                <w:bCs w:val="false"/>
                <w:i w:val="false"/>
                <w:iCs w:val="false"/>
                <w:color w:val="222222"/>
                <w:sz w:val="17"/>
                <w:szCs w:val="17"/>
              </w:rPr>
              <w:t xml:space="preserve">960</w:t>
            </w:r>
          </w:p>
        </w:tc>
      </w:tr>
      <w:tr>
        <w:tc>
          <w:tcPr>
            <w:tcW w:type="dxa" w:w="39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Domain, TLS and PWA assets</w:t>
            </w:r>
          </w:p>
        </w:tc>
        <w:tc>
          <w:tcPr>
            <w:tcW w:type="dxa" w:w="44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Domain registration, certificates, icon and splash asset production</w:t>
            </w:r>
          </w:p>
        </w:tc>
        <w:tc>
          <w:tcPr>
            <w:tcW w:type="dxa" w:w="1400"/>
            <w:shd w:fill="EDF1F6" w:color="auto" w:val="clear"/>
            <w:tcMar>
              <w:top w:type="dxa" w:w="45"/>
              <w:left w:type="dxa" w:w="95"/>
              <w:bottom w:type="dxa" w:w="45"/>
              <w:right w:type="dxa" w:w="95"/>
            </w:tcMar>
            <w:vAlign w:val="center"/>
          </w:tcPr>
          <w:p>
            <w:pPr>
              <w:spacing w:after="25" w:before="25" w:line="235"/>
              <w:jc w:val="right"/>
            </w:pPr>
            <w:r>
              <w:rPr>
                <w:rFonts w:ascii="Calibri" w:cs="Calibri" w:eastAsia="Calibri" w:hAnsi="Calibri"/>
                <w:b w:val="false"/>
                <w:bCs w:val="false"/>
                <w:i w:val="false"/>
                <w:iCs w:val="false"/>
                <w:color w:val="222222"/>
                <w:sz w:val="17"/>
                <w:szCs w:val="17"/>
              </w:rPr>
              <w:t xml:space="preserve">120</w:t>
            </w:r>
          </w:p>
        </w:tc>
      </w:tr>
      <w:tr>
        <w:tc>
          <w:tcPr>
            <w:tcW w:type="dxa" w:w="3900"/>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Content development and Guardian art</w:t>
            </w:r>
          </w:p>
        </w:tc>
        <w:tc>
          <w:tcPr>
            <w:tcW w:type="dxa" w:w="440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Commissioned illustration for the six-Guardian roster and scenario artwork</w:t>
            </w:r>
          </w:p>
        </w:tc>
        <w:tc>
          <w:tcPr>
            <w:tcW w:type="dxa" w:w="1400"/>
            <w:tcMar>
              <w:top w:type="dxa" w:w="45"/>
              <w:left w:type="dxa" w:w="95"/>
              <w:bottom w:type="dxa" w:w="45"/>
              <w:right w:type="dxa" w:w="95"/>
            </w:tcMar>
            <w:vAlign w:val="center"/>
          </w:tcPr>
          <w:p>
            <w:pPr>
              <w:spacing w:after="25" w:before="25" w:line="235"/>
              <w:jc w:val="right"/>
            </w:pPr>
            <w:r>
              <w:rPr>
                <w:rFonts w:ascii="Calibri" w:cs="Calibri" w:eastAsia="Calibri" w:hAnsi="Calibri"/>
                <w:b w:val="false"/>
                <w:bCs w:val="false"/>
                <w:i w:val="false"/>
                <w:iCs w:val="false"/>
                <w:color w:val="222222"/>
                <w:sz w:val="17"/>
                <w:szCs w:val="17"/>
              </w:rPr>
              <w:t xml:space="preserve">900</w:t>
            </w:r>
          </w:p>
        </w:tc>
      </w:tr>
      <w:tr>
        <w:tc>
          <w:tcPr>
            <w:tcW w:type="dxa" w:w="39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Pilot logistics</w:t>
            </w:r>
          </w:p>
        </w:tc>
        <w:tc>
          <w:tcPr>
            <w:tcW w:type="dxa" w:w="44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Four pilot sessions across four sites: consumables, printed consent packs, transport</w:t>
            </w:r>
          </w:p>
        </w:tc>
        <w:tc>
          <w:tcPr>
            <w:tcW w:type="dxa" w:w="1400"/>
            <w:shd w:fill="EDF1F6" w:color="auto" w:val="clear"/>
            <w:tcMar>
              <w:top w:type="dxa" w:w="45"/>
              <w:left w:type="dxa" w:w="95"/>
              <w:bottom w:type="dxa" w:w="45"/>
              <w:right w:type="dxa" w:w="95"/>
            </w:tcMar>
            <w:vAlign w:val="center"/>
          </w:tcPr>
          <w:p>
            <w:pPr>
              <w:spacing w:after="25" w:before="25" w:line="235"/>
              <w:jc w:val="right"/>
            </w:pPr>
            <w:r>
              <w:rPr>
                <w:rFonts w:ascii="Calibri" w:cs="Calibri" w:eastAsia="Calibri" w:hAnsi="Calibri"/>
                <w:b w:val="false"/>
                <w:bCs w:val="false"/>
                <w:i w:val="false"/>
                <w:iCs w:val="false"/>
                <w:color w:val="222222"/>
                <w:sz w:val="17"/>
                <w:szCs w:val="17"/>
              </w:rPr>
              <w:t xml:space="preserve">700</w:t>
            </w:r>
          </w:p>
        </w:tc>
      </w:tr>
      <w:tr>
        <w:tc>
          <w:tcPr>
            <w:tcW w:type="dxa" w:w="3900"/>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Participant incentives</w:t>
            </w:r>
          </w:p>
        </w:tc>
        <w:tc>
          <w:tcPr>
            <w:tcW w:type="dxa" w:w="440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Prize pool for pilot Flash Missions and evaluation completion incentives</w:t>
            </w:r>
          </w:p>
        </w:tc>
        <w:tc>
          <w:tcPr>
            <w:tcW w:type="dxa" w:w="1400"/>
            <w:tcMar>
              <w:top w:type="dxa" w:w="45"/>
              <w:left w:type="dxa" w:w="95"/>
              <w:bottom w:type="dxa" w:w="45"/>
              <w:right w:type="dxa" w:w="95"/>
            </w:tcMar>
            <w:vAlign w:val="center"/>
          </w:tcPr>
          <w:p>
            <w:pPr>
              <w:spacing w:after="25" w:before="25" w:line="235"/>
              <w:jc w:val="right"/>
            </w:pPr>
            <w:r>
              <w:rPr>
                <w:rFonts w:ascii="Calibri" w:cs="Calibri" w:eastAsia="Calibri" w:hAnsi="Calibri"/>
                <w:b w:val="false"/>
                <w:bCs w:val="false"/>
                <w:i w:val="false"/>
                <w:iCs w:val="false"/>
                <w:color w:val="222222"/>
                <w:sz w:val="17"/>
                <w:szCs w:val="17"/>
              </w:rPr>
              <w:t xml:space="preserve">600</w:t>
            </w:r>
          </w:p>
        </w:tc>
      </w:tr>
      <w:tr>
        <w:tc>
          <w:tcPr>
            <w:tcW w:type="dxa" w:w="39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Evaluation instruments and analysis</w:t>
            </w:r>
          </w:p>
        </w:tc>
        <w:tc>
          <w:tcPr>
            <w:tcW w:type="dxa" w:w="44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Survey tooling, statistical software licence, consent administration, transcription</w:t>
            </w:r>
          </w:p>
        </w:tc>
        <w:tc>
          <w:tcPr>
            <w:tcW w:type="dxa" w:w="1400"/>
            <w:shd w:fill="EDF1F6" w:color="auto" w:val="clear"/>
            <w:tcMar>
              <w:top w:type="dxa" w:w="45"/>
              <w:left w:type="dxa" w:w="95"/>
              <w:bottom w:type="dxa" w:w="45"/>
              <w:right w:type="dxa" w:w="95"/>
            </w:tcMar>
            <w:vAlign w:val="center"/>
          </w:tcPr>
          <w:p>
            <w:pPr>
              <w:spacing w:after="25" w:before="25" w:line="235"/>
              <w:jc w:val="right"/>
            </w:pPr>
            <w:r>
              <w:rPr>
                <w:rFonts w:ascii="Calibri" w:cs="Calibri" w:eastAsia="Calibri" w:hAnsi="Calibri"/>
                <w:b w:val="false"/>
                <w:bCs w:val="false"/>
                <w:i w:val="false"/>
                <w:iCs w:val="false"/>
                <w:color w:val="222222"/>
                <w:sz w:val="17"/>
                <w:szCs w:val="17"/>
              </w:rPr>
              <w:t xml:space="preserve">470</w:t>
            </w:r>
          </w:p>
        </w:tc>
      </w:tr>
      <w:tr>
        <w:tc>
          <w:tcPr>
            <w:tcW w:type="dxa" w:w="3900"/>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Security and accessibility review</w:t>
            </w:r>
          </w:p>
        </w:tc>
        <w:tc>
          <w:tcPr>
            <w:tcW w:type="dxa" w:w="440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External penetration test voucher and independent accessibility audit</w:t>
            </w:r>
          </w:p>
        </w:tc>
        <w:tc>
          <w:tcPr>
            <w:tcW w:type="dxa" w:w="1400"/>
            <w:tcMar>
              <w:top w:type="dxa" w:w="45"/>
              <w:left w:type="dxa" w:w="95"/>
              <w:bottom w:type="dxa" w:w="45"/>
              <w:right w:type="dxa" w:w="95"/>
            </w:tcMar>
            <w:vAlign w:val="center"/>
          </w:tcPr>
          <w:p>
            <w:pPr>
              <w:spacing w:after="25" w:before="25" w:line="235"/>
              <w:jc w:val="right"/>
            </w:pPr>
            <w:r>
              <w:rPr>
                <w:rFonts w:ascii="Calibri" w:cs="Calibri" w:eastAsia="Calibri" w:hAnsi="Calibri"/>
                <w:b w:val="false"/>
                <w:bCs w:val="false"/>
                <w:i w:val="false"/>
                <w:iCs w:val="false"/>
                <w:color w:val="222222"/>
                <w:sz w:val="17"/>
                <w:szCs w:val="17"/>
              </w:rPr>
              <w:t xml:space="preserve">500</w:t>
            </w:r>
          </w:p>
        </w:tc>
      </w:tr>
      <w:tr>
        <w:tc>
          <w:tcPr>
            <w:tcW w:type="dxa" w:w="39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Contingency (approx. 12%)</w:t>
            </w:r>
          </w:p>
        </w:tc>
        <w:tc>
          <w:tcPr>
            <w:tcW w:type="dxa" w:w="44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Unforeseen infrastructure overage, additional pilot site, scope variance</w:t>
            </w:r>
          </w:p>
        </w:tc>
        <w:tc>
          <w:tcPr>
            <w:tcW w:type="dxa" w:w="1400"/>
            <w:shd w:fill="EDF1F6" w:color="auto" w:val="clear"/>
            <w:tcMar>
              <w:top w:type="dxa" w:w="45"/>
              <w:left w:type="dxa" w:w="95"/>
              <w:bottom w:type="dxa" w:w="45"/>
              <w:right w:type="dxa" w:w="95"/>
            </w:tcMar>
            <w:vAlign w:val="center"/>
          </w:tcPr>
          <w:p>
            <w:pPr>
              <w:spacing w:after="25" w:before="25" w:line="235"/>
              <w:jc w:val="right"/>
            </w:pPr>
            <w:r>
              <w:rPr>
                <w:rFonts w:ascii="Calibri" w:cs="Calibri" w:eastAsia="Calibri" w:hAnsi="Calibri"/>
                <w:b w:val="false"/>
                <w:bCs w:val="false"/>
                <w:i w:val="false"/>
                <w:iCs w:val="false"/>
                <w:color w:val="222222"/>
                <w:sz w:val="17"/>
                <w:szCs w:val="17"/>
              </w:rPr>
              <w:t xml:space="preserve">600</w:t>
            </w:r>
          </w:p>
        </w:tc>
      </w:tr>
      <w:tr>
        <w:tc>
          <w:tcPr>
            <w:tcW w:type="dxa" w:w="3900"/>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TOTAL REQUESTED</w:t>
            </w:r>
          </w:p>
        </w:tc>
        <w:tc>
          <w:tcPr>
            <w:tcW w:type="dxa" w:w="440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
            </w:r>
          </w:p>
        </w:tc>
        <w:tc>
          <w:tcPr>
            <w:tcW w:type="dxa" w:w="1400"/>
            <w:tcMar>
              <w:top w:type="dxa" w:w="45"/>
              <w:left w:type="dxa" w:w="95"/>
              <w:bottom w:type="dxa" w:w="45"/>
              <w:right w:type="dxa" w:w="95"/>
            </w:tcMar>
            <w:vAlign w:val="center"/>
          </w:tcPr>
          <w:p>
            <w:pPr>
              <w:spacing w:after="25" w:before="25" w:line="235"/>
              <w:jc w:val="right"/>
            </w:pPr>
            <w:r>
              <w:rPr>
                <w:rFonts w:ascii="Calibri" w:cs="Calibri" w:eastAsia="Calibri" w:hAnsi="Calibri"/>
                <w:b w:val="false"/>
                <w:bCs w:val="false"/>
                <w:i w:val="false"/>
                <w:iCs w:val="false"/>
                <w:color w:val="222222"/>
                <w:sz w:val="17"/>
                <w:szCs w:val="17"/>
              </w:rPr>
              <w:t xml:space="preserve">4,850</w:t>
            </w:r>
          </w:p>
        </w:tc>
      </w:tr>
    </w:tbl>
    <w:p>
      <w:pPr>
        <w:spacing w:after="70"/>
      </w:pPr>
    </w:p>
    <w:p>
      <w:pPr>
        <w:pStyle w:val="Heading2"/>
        <w:spacing w:after="60" w:before="140"/>
      </w:pPr>
      <w:r>
        <w:rPr>
          <w:rFonts w:ascii="Calibri" w:cs="Calibri" w:eastAsia="Calibri" w:hAnsi="Calibri"/>
          <w:b/>
          <w:bCs/>
          <w:color w:val="15375E"/>
          <w:sz w:val="21"/>
          <w:szCs w:val="21"/>
        </w:rPr>
        <w:t xml:space="preserve">6.1  Lean fallback plan — S$3,000</w:t>
      </w:r>
    </w:p>
    <w:p>
      <w:pPr>
        <w:spacing w:after="90" w:line="250"/>
        <w:jc w:val="both"/>
      </w:pPr>
      <w:r>
        <w:rPr>
          <w:rFonts w:ascii="Calibri" w:cs="Calibri" w:eastAsia="Calibri" w:hAnsi="Calibri"/>
          <w:b w:val="false"/>
          <w:bCs w:val="false"/>
          <w:i w:val="false"/>
          <w:iCs w:val="false"/>
          <w:color w:val="222222"/>
          <w:sz w:val="20"/>
          <w:szCs w:val="20"/>
        </w:rPr>
        <w:t xml:space="preserve">If the award is made at a reduced level, the plan below delivers a functional product and the complete evaluation design at S$3,000. It is not a proportional trim: it protects the engine, the portal, the Peer Shield mechanic, and every evaluation instrument, absorbing the reduction entirely in art scope, pilot breadth, and outsourced review.</w:t>
      </w:r>
    </w:p>
    <w:p>
      <w:pPr>
        <w:spacing w:after="40"/>
      </w:pPr>
    </w:p>
    <w:tbl>
      <w:tblPr>
        <w:tblW w:type="dxa" w:w="9700"/>
        <w:tblBorders>
          <w:top w:val="single" w:color="C6CFDA" w:sz="4"/>
          <w:left w:val="single" w:color="C6CFDA" w:sz="4"/>
          <w:bottom w:val="single" w:color="C6CFDA" w:sz="4"/>
          <w:right w:val="single" w:color="C6CFDA" w:sz="4"/>
          <w:insideH w:val="single" w:color="D8DFE8" w:sz="2"/>
          <w:insideV w:val="single" w:color="D8DFE8" w:sz="2"/>
        </w:tblBorders>
      </w:tblPr>
      <w:tblGrid>
        <w:gridCol w:w="3900"/>
        <w:gridCol w:w="4400"/>
        <w:gridCol w:w="1400"/>
      </w:tblGrid>
      <w:tr>
        <w:trPr>
          <w:tblHeader/>
        </w:trPr>
        <w:tc>
          <w:tcPr>
            <w:tcW w:type="dxa" w:w="3900"/>
            <w:shd w:fill="15375E"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FFFFFF"/>
                <w:sz w:val="17"/>
                <w:szCs w:val="17"/>
              </w:rPr>
              <w:t xml:space="preserve">LINE ITEM</w:t>
            </w:r>
          </w:p>
        </w:tc>
        <w:tc>
          <w:tcPr>
            <w:tcW w:type="dxa" w:w="4400"/>
            <w:shd w:fill="15375E"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FFFFFF"/>
                <w:sz w:val="17"/>
                <w:szCs w:val="17"/>
              </w:rPr>
              <w:t xml:space="preserve">REDUCED SCOPE</w:t>
            </w:r>
          </w:p>
        </w:tc>
        <w:tc>
          <w:tcPr>
            <w:tcW w:type="dxa" w:w="1400"/>
            <w:shd w:fill="15375E"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FFFFFF"/>
                <w:sz w:val="17"/>
                <w:szCs w:val="17"/>
              </w:rPr>
              <w:t xml:space="preserve">AMOUNT (S$)</w:t>
            </w:r>
          </w:p>
        </w:tc>
      </w:tr>
      <w:tr>
        <w:tc>
          <w:tcPr>
            <w:tcW w:type="dxa" w:w="3900"/>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Cloud hosting and infrastructure</w:t>
            </w:r>
          </w:p>
        </w:tc>
        <w:tc>
          <w:tcPr>
            <w:tcW w:type="dxa" w:w="440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Hobby-tier compute with managed PostgreSQL only; Redis replaced by in-process cache</w:t>
            </w:r>
          </w:p>
        </w:tc>
        <w:tc>
          <w:tcPr>
            <w:tcW w:type="dxa" w:w="1400"/>
            <w:tcMar>
              <w:top w:type="dxa" w:w="45"/>
              <w:left w:type="dxa" w:w="95"/>
              <w:bottom w:type="dxa" w:w="45"/>
              <w:right w:type="dxa" w:w="95"/>
            </w:tcMar>
            <w:vAlign w:val="center"/>
          </w:tcPr>
          <w:p>
            <w:pPr>
              <w:spacing w:after="25" w:before="25" w:line="235"/>
              <w:jc w:val="right"/>
            </w:pPr>
            <w:r>
              <w:rPr>
                <w:rFonts w:ascii="Calibri" w:cs="Calibri" w:eastAsia="Calibri" w:hAnsi="Calibri"/>
                <w:b w:val="false"/>
                <w:bCs w:val="false"/>
                <w:i w:val="false"/>
                <w:iCs w:val="false"/>
                <w:color w:val="222222"/>
                <w:sz w:val="17"/>
                <w:szCs w:val="17"/>
              </w:rPr>
              <w:t xml:space="preserve">480</w:t>
            </w:r>
          </w:p>
        </w:tc>
      </w:tr>
      <w:tr>
        <w:tc>
          <w:tcPr>
            <w:tcW w:type="dxa" w:w="39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Domain, TLS and PWA assets</w:t>
            </w:r>
          </w:p>
        </w:tc>
        <w:tc>
          <w:tcPr>
            <w:tcW w:type="dxa" w:w="44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Unchanged</w:t>
            </w:r>
          </w:p>
        </w:tc>
        <w:tc>
          <w:tcPr>
            <w:tcW w:type="dxa" w:w="1400"/>
            <w:shd w:fill="EDF1F6" w:color="auto" w:val="clear"/>
            <w:tcMar>
              <w:top w:type="dxa" w:w="45"/>
              <w:left w:type="dxa" w:w="95"/>
              <w:bottom w:type="dxa" w:w="45"/>
              <w:right w:type="dxa" w:w="95"/>
            </w:tcMar>
            <w:vAlign w:val="center"/>
          </w:tcPr>
          <w:p>
            <w:pPr>
              <w:spacing w:after="25" w:before="25" w:line="235"/>
              <w:jc w:val="right"/>
            </w:pPr>
            <w:r>
              <w:rPr>
                <w:rFonts w:ascii="Calibri" w:cs="Calibri" w:eastAsia="Calibri" w:hAnsi="Calibri"/>
                <w:b w:val="false"/>
                <w:bCs w:val="false"/>
                <w:i w:val="false"/>
                <w:iCs w:val="false"/>
                <w:color w:val="222222"/>
                <w:sz w:val="17"/>
                <w:szCs w:val="17"/>
              </w:rPr>
              <w:t xml:space="preserve">120</w:t>
            </w:r>
          </w:p>
        </w:tc>
      </w:tr>
      <w:tr>
        <w:tc>
          <w:tcPr>
            <w:tcW w:type="dxa" w:w="3900"/>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Content development and Guardian art</w:t>
            </w:r>
          </w:p>
        </w:tc>
        <w:tc>
          <w:tcPr>
            <w:tcW w:type="dxa" w:w="440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Three-Guardian launch roster; student illustrator stipend in place of commission</w:t>
            </w:r>
          </w:p>
        </w:tc>
        <w:tc>
          <w:tcPr>
            <w:tcW w:type="dxa" w:w="1400"/>
            <w:tcMar>
              <w:top w:type="dxa" w:w="45"/>
              <w:left w:type="dxa" w:w="95"/>
              <w:bottom w:type="dxa" w:w="45"/>
              <w:right w:type="dxa" w:w="95"/>
            </w:tcMar>
            <w:vAlign w:val="center"/>
          </w:tcPr>
          <w:p>
            <w:pPr>
              <w:spacing w:after="25" w:before="25" w:line="235"/>
              <w:jc w:val="right"/>
            </w:pPr>
            <w:r>
              <w:rPr>
                <w:rFonts w:ascii="Calibri" w:cs="Calibri" w:eastAsia="Calibri" w:hAnsi="Calibri"/>
                <w:b w:val="false"/>
                <w:bCs w:val="false"/>
                <w:i w:val="false"/>
                <w:iCs w:val="false"/>
                <w:color w:val="222222"/>
                <w:sz w:val="17"/>
                <w:szCs w:val="17"/>
              </w:rPr>
              <w:t xml:space="preserve">600</w:t>
            </w:r>
          </w:p>
        </w:tc>
      </w:tr>
      <w:tr>
        <w:tc>
          <w:tcPr>
            <w:tcW w:type="dxa" w:w="39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Pilot logistics</w:t>
            </w:r>
          </w:p>
        </w:tc>
        <w:tc>
          <w:tcPr>
            <w:tcW w:type="dxa" w:w="44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Two pilot sites instead of four; digital consent packs</w:t>
            </w:r>
          </w:p>
        </w:tc>
        <w:tc>
          <w:tcPr>
            <w:tcW w:type="dxa" w:w="1400"/>
            <w:shd w:fill="EDF1F6" w:color="auto" w:val="clear"/>
            <w:tcMar>
              <w:top w:type="dxa" w:w="45"/>
              <w:left w:type="dxa" w:w="95"/>
              <w:bottom w:type="dxa" w:w="45"/>
              <w:right w:type="dxa" w:w="95"/>
            </w:tcMar>
            <w:vAlign w:val="center"/>
          </w:tcPr>
          <w:p>
            <w:pPr>
              <w:spacing w:after="25" w:before="25" w:line="235"/>
              <w:jc w:val="right"/>
            </w:pPr>
            <w:r>
              <w:rPr>
                <w:rFonts w:ascii="Calibri" w:cs="Calibri" w:eastAsia="Calibri" w:hAnsi="Calibri"/>
                <w:b w:val="false"/>
                <w:bCs w:val="false"/>
                <w:i w:val="false"/>
                <w:iCs w:val="false"/>
                <w:color w:val="222222"/>
                <w:sz w:val="17"/>
                <w:szCs w:val="17"/>
              </w:rPr>
              <w:t xml:space="preserve">400</w:t>
            </w:r>
          </w:p>
        </w:tc>
      </w:tr>
      <w:tr>
        <w:tc>
          <w:tcPr>
            <w:tcW w:type="dxa" w:w="3900"/>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Participant incentives</w:t>
            </w:r>
          </w:p>
        </w:tc>
        <w:tc>
          <w:tcPr>
            <w:tcW w:type="dxa" w:w="440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Digital vouchers only, reduced pool</w:t>
            </w:r>
          </w:p>
        </w:tc>
        <w:tc>
          <w:tcPr>
            <w:tcW w:type="dxa" w:w="1400"/>
            <w:tcMar>
              <w:top w:type="dxa" w:w="45"/>
              <w:left w:type="dxa" w:w="95"/>
              <w:bottom w:type="dxa" w:w="45"/>
              <w:right w:type="dxa" w:w="95"/>
            </w:tcMar>
            <w:vAlign w:val="center"/>
          </w:tcPr>
          <w:p>
            <w:pPr>
              <w:spacing w:after="25" w:before="25" w:line="235"/>
              <w:jc w:val="right"/>
            </w:pPr>
            <w:r>
              <w:rPr>
                <w:rFonts w:ascii="Calibri" w:cs="Calibri" w:eastAsia="Calibri" w:hAnsi="Calibri"/>
                <w:b w:val="false"/>
                <w:bCs w:val="false"/>
                <w:i w:val="false"/>
                <w:iCs w:val="false"/>
                <w:color w:val="222222"/>
                <w:sz w:val="17"/>
                <w:szCs w:val="17"/>
              </w:rPr>
              <w:t xml:space="preserve">400</w:t>
            </w:r>
          </w:p>
        </w:tc>
      </w:tr>
      <w:tr>
        <w:tc>
          <w:tcPr>
            <w:tcW w:type="dxa" w:w="39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Facilitator kit and printing</w:t>
            </w:r>
          </w:p>
        </w:tc>
        <w:tc>
          <w:tcPr>
            <w:tcW w:type="dxa" w:w="44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Teacher and officer run-sheets, debrief cards</w:t>
            </w:r>
          </w:p>
        </w:tc>
        <w:tc>
          <w:tcPr>
            <w:tcW w:type="dxa" w:w="1400"/>
            <w:shd w:fill="EDF1F6" w:color="auto" w:val="clear"/>
            <w:tcMar>
              <w:top w:type="dxa" w:w="45"/>
              <w:left w:type="dxa" w:w="95"/>
              <w:bottom w:type="dxa" w:w="45"/>
              <w:right w:type="dxa" w:w="95"/>
            </w:tcMar>
            <w:vAlign w:val="center"/>
          </w:tcPr>
          <w:p>
            <w:pPr>
              <w:spacing w:after="25" w:before="25" w:line="235"/>
              <w:jc w:val="right"/>
            </w:pPr>
            <w:r>
              <w:rPr>
                <w:rFonts w:ascii="Calibri" w:cs="Calibri" w:eastAsia="Calibri" w:hAnsi="Calibri"/>
                <w:b w:val="false"/>
                <w:bCs w:val="false"/>
                <w:i w:val="false"/>
                <w:iCs w:val="false"/>
                <w:color w:val="222222"/>
                <w:sz w:val="17"/>
                <w:szCs w:val="17"/>
              </w:rPr>
              <w:t xml:space="preserve">250</w:t>
            </w:r>
          </w:p>
        </w:tc>
      </w:tr>
      <w:tr>
        <w:tc>
          <w:tcPr>
            <w:tcW w:type="dxa" w:w="3900"/>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Evaluation instruments and analysis</w:t>
            </w:r>
          </w:p>
        </w:tc>
        <w:tc>
          <w:tcPr>
            <w:tcW w:type="dxa" w:w="440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Free survey tooling and open-source statistical analysis; manual coding by the team</w:t>
            </w:r>
          </w:p>
        </w:tc>
        <w:tc>
          <w:tcPr>
            <w:tcW w:type="dxa" w:w="1400"/>
            <w:tcMar>
              <w:top w:type="dxa" w:w="45"/>
              <w:left w:type="dxa" w:w="95"/>
              <w:bottom w:type="dxa" w:w="45"/>
              <w:right w:type="dxa" w:w="95"/>
            </w:tcMar>
            <w:vAlign w:val="center"/>
          </w:tcPr>
          <w:p>
            <w:pPr>
              <w:spacing w:after="25" w:before="25" w:line="235"/>
              <w:jc w:val="right"/>
            </w:pPr>
            <w:r>
              <w:rPr>
                <w:rFonts w:ascii="Calibri" w:cs="Calibri" w:eastAsia="Calibri" w:hAnsi="Calibri"/>
                <w:b w:val="false"/>
                <w:bCs w:val="false"/>
                <w:i w:val="false"/>
                <w:iCs w:val="false"/>
                <w:color w:val="222222"/>
                <w:sz w:val="17"/>
                <w:szCs w:val="17"/>
              </w:rPr>
              <w:t xml:space="preserve">150</w:t>
            </w:r>
          </w:p>
        </w:tc>
      </w:tr>
      <w:tr>
        <w:tc>
          <w:tcPr>
            <w:tcW w:type="dxa" w:w="39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Security and accessibility review</w:t>
            </w:r>
          </w:p>
        </w:tc>
        <w:tc>
          <w:tcPr>
            <w:tcW w:type="dxa" w:w="44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Self-assessment against OWASP ASVS L1 and automated accessibility tooling</w:t>
            </w:r>
          </w:p>
        </w:tc>
        <w:tc>
          <w:tcPr>
            <w:tcW w:type="dxa" w:w="1400"/>
            <w:shd w:fill="EDF1F6" w:color="auto" w:val="clear"/>
            <w:tcMar>
              <w:top w:type="dxa" w:w="45"/>
              <w:left w:type="dxa" w:w="95"/>
              <w:bottom w:type="dxa" w:w="45"/>
              <w:right w:type="dxa" w:w="95"/>
            </w:tcMar>
            <w:vAlign w:val="center"/>
          </w:tcPr>
          <w:p>
            <w:pPr>
              <w:spacing w:after="25" w:before="25" w:line="235"/>
              <w:jc w:val="right"/>
            </w:pPr>
            <w:r>
              <w:rPr>
                <w:rFonts w:ascii="Calibri" w:cs="Calibri" w:eastAsia="Calibri" w:hAnsi="Calibri"/>
                <w:b w:val="false"/>
                <w:bCs w:val="false"/>
                <w:i w:val="false"/>
                <w:iCs w:val="false"/>
                <w:color w:val="222222"/>
                <w:sz w:val="17"/>
                <w:szCs w:val="17"/>
              </w:rPr>
              <w:t xml:space="preserve">0</w:t>
            </w:r>
          </w:p>
        </w:tc>
      </w:tr>
      <w:tr>
        <w:tc>
          <w:tcPr>
            <w:tcW w:type="dxa" w:w="3900"/>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Contingency (20%)</w:t>
            </w:r>
          </w:p>
        </w:tc>
        <w:tc>
          <w:tcPr>
            <w:tcW w:type="dxa" w:w="440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Higher proportional reserve given the thinner margin</w:t>
            </w:r>
          </w:p>
        </w:tc>
        <w:tc>
          <w:tcPr>
            <w:tcW w:type="dxa" w:w="1400"/>
            <w:tcMar>
              <w:top w:type="dxa" w:w="45"/>
              <w:left w:type="dxa" w:w="95"/>
              <w:bottom w:type="dxa" w:w="45"/>
              <w:right w:type="dxa" w:w="95"/>
            </w:tcMar>
            <w:vAlign w:val="center"/>
          </w:tcPr>
          <w:p>
            <w:pPr>
              <w:spacing w:after="25" w:before="25" w:line="235"/>
              <w:jc w:val="right"/>
            </w:pPr>
            <w:r>
              <w:rPr>
                <w:rFonts w:ascii="Calibri" w:cs="Calibri" w:eastAsia="Calibri" w:hAnsi="Calibri"/>
                <w:b w:val="false"/>
                <w:bCs w:val="false"/>
                <w:i w:val="false"/>
                <w:iCs w:val="false"/>
                <w:color w:val="222222"/>
                <w:sz w:val="17"/>
                <w:szCs w:val="17"/>
              </w:rPr>
              <w:t xml:space="preserve">600</w:t>
            </w:r>
          </w:p>
        </w:tc>
      </w:tr>
      <w:tr>
        <w:tc>
          <w:tcPr>
            <w:tcW w:type="dxa" w:w="39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TOTAL (LEAN)</w:t>
            </w:r>
          </w:p>
        </w:tc>
        <w:tc>
          <w:tcPr>
            <w:tcW w:type="dxa" w:w="44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
            </w:r>
          </w:p>
        </w:tc>
        <w:tc>
          <w:tcPr>
            <w:tcW w:type="dxa" w:w="1400"/>
            <w:shd w:fill="EDF1F6" w:color="auto" w:val="clear"/>
            <w:tcMar>
              <w:top w:type="dxa" w:w="45"/>
              <w:left w:type="dxa" w:w="95"/>
              <w:bottom w:type="dxa" w:w="45"/>
              <w:right w:type="dxa" w:w="95"/>
            </w:tcMar>
            <w:vAlign w:val="center"/>
          </w:tcPr>
          <w:p>
            <w:pPr>
              <w:spacing w:after="25" w:before="25" w:line="235"/>
              <w:jc w:val="right"/>
            </w:pPr>
            <w:r>
              <w:rPr>
                <w:rFonts w:ascii="Calibri" w:cs="Calibri" w:eastAsia="Calibri" w:hAnsi="Calibri"/>
                <w:b w:val="false"/>
                <w:bCs w:val="false"/>
                <w:i w:val="false"/>
                <w:iCs w:val="false"/>
                <w:color w:val="222222"/>
                <w:sz w:val="17"/>
                <w:szCs w:val="17"/>
              </w:rPr>
              <w:t xml:space="preserve">3,000</w:t>
            </w:r>
          </w:p>
        </w:tc>
      </w:tr>
    </w:tbl>
    <w:p>
      <w:pPr>
        <w:spacing w:after="40"/>
      </w:pPr>
    </w:p>
    <w:p>
      <w:pPr>
        <w:spacing w:after="90" w:line="250"/>
        <w:jc w:val="both"/>
      </w:pPr>
      <w:r>
        <w:rPr>
          <w:rFonts w:ascii="Calibri" w:cs="Calibri" w:eastAsia="Calibri" w:hAnsi="Calibri"/>
          <w:b w:val="false"/>
          <w:bCs w:val="false"/>
          <w:i/>
          <w:iCs/>
          <w:color w:val="5A5A5A"/>
          <w:sz w:val="18"/>
          <w:szCs w:val="18"/>
        </w:rPr>
        <w:t xml:space="preserve">The measurable cost of the lean plan is statistical power — roughly 150 participants rather than 300 — and a launch roster of three Guardians, with the remaining three deferred to a post-grant release. The core hypothesis remains fully testable.</w:t>
      </w:r>
    </w:p>
    <w:p>
      <w:pPr>
        <w:pStyle w:val="Heading1"/>
        <w:pBdr>
          <w:bottom w:val="single" w:color="B8860B" w:sz="8" w:space="4"/>
        </w:pBdr>
        <w:spacing w:after="110" w:before="200"/>
      </w:pPr>
      <w:r>
        <w:rPr>
          <w:rFonts w:ascii="Calibri" w:cs="Calibri" w:eastAsia="Calibri" w:hAnsi="Calibri"/>
          <w:b/>
          <w:bCs/>
          <w:color w:val="B8860B"/>
          <w:sz w:val="26"/>
          <w:szCs w:val="26"/>
        </w:rPr>
        <w:t xml:space="preserve">7.  </w:t>
      </w:r>
      <w:r>
        <w:rPr>
          <w:rFonts w:ascii="Calibri" w:cs="Calibri" w:eastAsia="Calibri" w:hAnsi="Calibri"/>
          <w:b/>
          <w:bCs/>
          <w:color w:val="15375E"/>
          <w:spacing w:val="12"/>
          <w:sz w:val="26"/>
          <w:szCs w:val="26"/>
        </w:rPr>
        <w:t xml:space="preserve">IMPACT, EVALUATION AND SCALABILITY</w:t>
      </w:r>
    </w:p>
    <w:p>
      <w:pPr>
        <w:spacing w:after="90" w:line="250"/>
        <w:jc w:val="both"/>
      </w:pPr>
      <w:r>
        <w:rPr>
          <w:rFonts w:ascii="Calibri" w:cs="Calibri" w:eastAsia="Calibri" w:hAnsi="Calibri"/>
          <w:b w:val="false"/>
          <w:bCs w:val="false"/>
          <w:i w:val="false"/>
          <w:iCs w:val="false"/>
          <w:color w:val="222222"/>
          <w:sz w:val="20"/>
          <w:szCs w:val="20"/>
        </w:rPr>
        <w:t xml:space="preserve">We propose a quasi-experimental evaluation with three measurement points — baseline, immediate post-intervention, and 30-day follow-up — against a matched comparison group receiving standard talk-only outreach. Decision accuracy is measured on a held-out set of scenarios the participant has never played, delivered under the same time pressure as the training content, so the score reflects transferable judgement rather than memorised content. We commit in advance to reporting null or negative findings; an intervention that does not work is a finding SPF needs, and we would rather deliver that honestly than defend a product.</w:t>
      </w:r>
    </w:p>
    <w:p>
      <w:pPr>
        <w:spacing w:after="40"/>
      </w:pPr>
    </w:p>
    <w:tbl>
      <w:tblPr>
        <w:tblW w:type="dxa" w:w="9700"/>
        <w:tblBorders>
          <w:top w:val="single" w:color="C6CFDA" w:sz="4"/>
          <w:left w:val="single" w:color="C6CFDA" w:sz="4"/>
          <w:bottom w:val="single" w:color="C6CFDA" w:sz="4"/>
          <w:right w:val="single" w:color="C6CFDA" w:sz="4"/>
          <w:insideH w:val="single" w:color="D8DFE8" w:sz="2"/>
          <w:insideV w:val="single" w:color="D8DFE8" w:sz="2"/>
        </w:tblBorders>
      </w:tblPr>
      <w:tblGrid>
        <w:gridCol w:w="2200"/>
        <w:gridCol w:w="3900"/>
        <w:gridCol w:w="2200"/>
        <w:gridCol w:w="1400"/>
      </w:tblGrid>
      <w:tr>
        <w:trPr>
          <w:tblHeader/>
        </w:trPr>
        <w:tc>
          <w:tcPr>
            <w:tcW w:type="dxa" w:w="2200"/>
            <w:shd w:fill="15375E"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FFFFFF"/>
                <w:sz w:val="17"/>
                <w:szCs w:val="17"/>
              </w:rPr>
              <w:t xml:space="preserve">DIMENSION</w:t>
            </w:r>
          </w:p>
        </w:tc>
        <w:tc>
          <w:tcPr>
            <w:tcW w:type="dxa" w:w="3900"/>
            <w:shd w:fill="15375E"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FFFFFF"/>
                <w:sz w:val="17"/>
                <w:szCs w:val="17"/>
              </w:rPr>
              <w:t xml:space="preserve">INDICATOR</w:t>
            </w:r>
          </w:p>
        </w:tc>
        <w:tc>
          <w:tcPr>
            <w:tcW w:type="dxa" w:w="2200"/>
            <w:shd w:fill="15375E"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FFFFFF"/>
                <w:sz w:val="17"/>
                <w:szCs w:val="17"/>
              </w:rPr>
              <w:t xml:space="preserve">INSTRUMENT</w:t>
            </w:r>
          </w:p>
        </w:tc>
        <w:tc>
          <w:tcPr>
            <w:tcW w:type="dxa" w:w="1400"/>
            <w:shd w:fill="15375E"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FFFFFF"/>
                <w:sz w:val="17"/>
                <w:szCs w:val="17"/>
              </w:rPr>
              <w:t xml:space="preserve">TARGET</w:t>
            </w:r>
          </w:p>
        </w:tc>
      </w:tr>
      <w:tr>
        <w:tc>
          <w:tcPr>
            <w:tcW w:type="dxa" w:w="2200"/>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Knowledge</w:t>
            </w:r>
          </w:p>
        </w:tc>
        <w:tc>
          <w:tcPr>
            <w:tcW w:type="dxa" w:w="390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Recognition of risk cues and scam typologies</w:t>
            </w:r>
          </w:p>
        </w:tc>
        <w:tc>
          <w:tcPr>
            <w:tcW w:type="dxa" w:w="220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15-item quiz</w:t>
            </w:r>
          </w:p>
        </w:tc>
        <w:tc>
          <w:tcPr>
            <w:tcW w:type="dxa" w:w="140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+25% pre→post</w:t>
            </w:r>
          </w:p>
        </w:tc>
      </w:tr>
      <w:tr>
        <w:tc>
          <w:tcPr>
            <w:tcW w:type="dxa" w:w="22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Decision accuracy</w:t>
            </w:r>
          </w:p>
        </w:tc>
        <w:tc>
          <w:tcPr>
            <w:tcW w:type="dxa" w:w="39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Proportion of safe choices on unseen, time-pressured scenarios</w:t>
            </w:r>
          </w:p>
        </w:tc>
        <w:tc>
          <w:tcPr>
            <w:tcW w:type="dxa" w:w="22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Held-out in-app set</w:t>
            </w:r>
          </w:p>
        </w:tc>
        <w:tc>
          <w:tcPr>
            <w:tcW w:type="dxa" w:w="14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≥70% post; ≥65% at day 30</w:t>
            </w:r>
          </w:p>
        </w:tc>
      </w:tr>
      <w:tr>
        <w:tc>
          <w:tcPr>
            <w:tcW w:type="dxa" w:w="2200"/>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Impulse control</w:t>
            </w:r>
          </w:p>
        </w:tc>
        <w:tc>
          <w:tcPr>
            <w:tcW w:type="dxa" w:w="390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Median time-to-decision on high-pressure items</w:t>
            </w:r>
          </w:p>
        </w:tc>
        <w:tc>
          <w:tcPr>
            <w:tcW w:type="dxa" w:w="220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Client telemetry</w:t>
            </w:r>
          </w:p>
        </w:tc>
        <w:tc>
          <w:tcPr>
            <w:tcW w:type="dxa" w:w="140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Increased deliberation on flagged nodes</w:t>
            </w:r>
          </w:p>
        </w:tc>
      </w:tr>
      <w:tr>
        <w:tc>
          <w:tcPr>
            <w:tcW w:type="dxa" w:w="22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Bystander efficacy</w:t>
            </w:r>
          </w:p>
        </w:tc>
        <w:tc>
          <w:tcPr>
            <w:tcW w:type="dxa" w:w="39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Confidence and stated willingness to intervene for a peer</w:t>
            </w:r>
          </w:p>
        </w:tc>
        <w:tc>
          <w:tcPr>
            <w:tcW w:type="dxa" w:w="22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Adapted 5-point efficacy scale</w:t>
            </w:r>
          </w:p>
        </w:tc>
        <w:tc>
          <w:tcPr>
            <w:tcW w:type="dxa" w:w="14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+1.0 point</w:t>
            </w:r>
          </w:p>
        </w:tc>
      </w:tr>
      <w:tr>
        <w:tc>
          <w:tcPr>
            <w:tcW w:type="dxa" w:w="2200"/>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Engagement</w:t>
            </w:r>
          </w:p>
        </w:tc>
        <w:tc>
          <w:tcPr>
            <w:tcW w:type="dxa" w:w="390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Voluntary return sessions and Flash Mission uptake</w:t>
            </w:r>
          </w:p>
        </w:tc>
        <w:tc>
          <w:tcPr>
            <w:tcW w:type="dxa" w:w="220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Telemetry</w:t>
            </w:r>
          </w:p>
        </w:tc>
        <w:tc>
          <w:tcPr>
            <w:tcW w:type="dxa" w:w="140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≥3 sessions/user; ≥40% uptake</w:t>
            </w:r>
          </w:p>
        </w:tc>
      </w:tr>
      <w:tr>
        <w:tc>
          <w:tcPr>
            <w:tcW w:type="dxa" w:w="22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Operational</w:t>
            </w:r>
          </w:p>
        </w:tc>
        <w:tc>
          <w:tcPr>
            <w:tcW w:type="dxa" w:w="39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Elapsed time from new MO identified to Flash Mission live</w:t>
            </w:r>
          </w:p>
        </w:tc>
        <w:tc>
          <w:tcPr>
            <w:tcW w:type="dxa" w:w="22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Portal audit log</w:t>
            </w:r>
          </w:p>
        </w:tc>
        <w:tc>
          <w:tcPr>
            <w:tcW w:type="dxa" w:w="14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&lt;24 hours</w:t>
            </w:r>
          </w:p>
        </w:tc>
      </w:tr>
    </w:tbl>
    <w:p>
      <w:pPr>
        <w:spacing w:after="70"/>
      </w:pPr>
    </w:p>
    <w:p>
      <w:pPr>
        <w:pStyle w:val="Heading2"/>
        <w:spacing w:after="60" w:before="140"/>
      </w:pPr>
      <w:r>
        <w:rPr>
          <w:rFonts w:ascii="Calibri" w:cs="Calibri" w:eastAsia="Calibri" w:hAnsi="Calibri"/>
          <w:b/>
          <w:bCs/>
          <w:color w:val="15375E"/>
          <w:sz w:val="21"/>
          <w:szCs w:val="21"/>
        </w:rPr>
        <w:t xml:space="preserve">7.1  Scalability</w:t>
      </w:r>
    </w:p>
    <w:p>
      <w:pPr>
        <w:spacing w:after="90" w:line="250"/>
        <w:jc w:val="both"/>
      </w:pPr>
      <w:r>
        <w:rPr>
          <w:rFonts w:ascii="Calibri" w:cs="Calibri" w:eastAsia="Calibri" w:hAnsi="Calibri"/>
          <w:b w:val="false"/>
          <w:bCs w:val="false"/>
          <w:i w:val="false"/>
          <w:iCs w:val="false"/>
          <w:color w:val="222222"/>
          <w:sz w:val="20"/>
          <w:szCs w:val="20"/>
        </w:rPr>
        <w:t xml:space="preserve">SHIELD scales along three independent axes, and only one of them requires engineering.</w:t>
      </w:r>
    </w:p>
    <w:p>
      <w:pPr>
        <w:pStyle w:val="ListParagraph"/>
        <w:numPr>
          <w:ilvl w:val="0"/>
          <w:numId w:val="2"/>
        </w:numPr>
        <w:spacing w:after="55" w:line="250"/>
      </w:pPr>
      <w:r>
        <w:rPr>
          <w:rFonts w:ascii="Calibri" w:cs="Calibri" w:eastAsia="Calibri" w:hAnsi="Calibri"/>
          <w:b/>
          <w:bCs/>
          <w:color w:val="15375E"/>
          <w:sz w:val="20"/>
          <w:szCs w:val="20"/>
        </w:rPr>
        <w:t xml:space="preserve">Horizontal — </w:t>
      </w:r>
      <w:r>
        <w:rPr>
          <w:rFonts w:ascii="Calibri" w:cs="Calibri" w:eastAsia="Calibri" w:hAnsi="Calibri"/>
          <w:color w:val="222222"/>
          <w:sz w:val="20"/>
          <w:szCs w:val="20"/>
        </w:rPr>
        <w:t xml:space="preserve">Because scenarios are data rather than code, additional Track B domains — vaping, vice recruitment, unlicensed moneylending runners, radicalisation awareness — are added as content by SPF officers through the portal. No release cycle, no developer, no cost per domain.</w:t>
      </w:r>
    </w:p>
    <w:p>
      <w:pPr>
        <w:pStyle w:val="ListParagraph"/>
        <w:numPr>
          <w:ilvl w:val="0"/>
          <w:numId w:val="2"/>
        </w:numPr>
        <w:spacing w:after="55" w:line="250"/>
      </w:pPr>
      <w:r>
        <w:rPr>
          <w:rFonts w:ascii="Calibri" w:cs="Calibri" w:eastAsia="Calibri" w:hAnsi="Calibri"/>
          <w:b/>
          <w:bCs/>
          <w:color w:val="15375E"/>
          <w:sz w:val="20"/>
          <w:szCs w:val="20"/>
        </w:rPr>
        <w:t xml:space="preserve">Vertical — </w:t>
      </w:r>
      <w:r>
        <w:rPr>
          <w:rFonts w:ascii="Calibri" w:cs="Calibri" w:eastAsia="Calibri" w:hAnsi="Calibri"/>
          <w:color w:val="222222"/>
          <w:sz w:val="20"/>
          <w:szCs w:val="20"/>
        </w:rPr>
        <w:t xml:space="preserve">Family Mode extends the platform to intergenerational scam prevention. Seniors are among the most costly scam victim groups and the hardest to reach through digital channels — but they are reachable through their grandchildren. In Family Mode the youth becomes the teacher: paired scenarios cast the young player as coach, walking a parent or grandparent through a live scam attempt, with a shared household Guardian roster and joint progression. Reverse-mentoring flips the young person from lecture-recipient to prevention agent, which is also among the strongest known drivers of retention for the mentor.</w:t>
      </w:r>
    </w:p>
    <w:p>
      <w:pPr>
        <w:pStyle w:val="ListParagraph"/>
        <w:numPr>
          <w:ilvl w:val="0"/>
          <w:numId w:val="2"/>
        </w:numPr>
        <w:spacing w:after="55" w:line="250"/>
      </w:pPr>
      <w:r>
        <w:rPr>
          <w:rFonts w:ascii="Calibri" w:cs="Calibri" w:eastAsia="Calibri" w:hAnsi="Calibri"/>
          <w:b/>
          <w:bCs/>
          <w:color w:val="15375E"/>
          <w:sz w:val="20"/>
          <w:szCs w:val="20"/>
        </w:rPr>
        <w:t xml:space="preserve">Institutional — </w:t>
      </w:r>
      <w:r>
        <w:rPr>
          <w:rFonts w:ascii="Calibri" w:cs="Calibri" w:eastAsia="Calibri" w:hAnsi="Calibri"/>
          <w:color w:val="222222"/>
          <w:sz w:val="20"/>
          <w:szCs w:val="20"/>
        </w:rPr>
        <w:t xml:space="preserve">At project close SPF receives the complete codebase, scenario library, authoring portal, de-identified evaluation dataset, and operating documentation under an open handover. There is no vendor lock-in on the message, and no dependency on Team SecurePi’s continued availability.</w:t>
      </w:r>
    </w:p>
    <w:p>
      <w:pPr>
        <w:pStyle w:val="Heading1"/>
        <w:pBdr>
          <w:bottom w:val="single" w:color="B8860B" w:sz="8" w:space="4"/>
        </w:pBdr>
        <w:spacing w:after="110" w:before="200"/>
      </w:pPr>
      <w:r>
        <w:rPr>
          <w:rFonts w:ascii="Calibri" w:cs="Calibri" w:eastAsia="Calibri" w:hAnsi="Calibri"/>
          <w:b/>
          <w:bCs/>
          <w:color w:val="B8860B"/>
          <w:sz w:val="26"/>
          <w:szCs w:val="26"/>
        </w:rPr>
        <w:t xml:space="preserve">8.  </w:t>
      </w:r>
      <w:r>
        <w:rPr>
          <w:rFonts w:ascii="Calibri" w:cs="Calibri" w:eastAsia="Calibri" w:hAnsi="Calibri"/>
          <w:b/>
          <w:bCs/>
          <w:color w:val="15375E"/>
          <w:spacing w:val="12"/>
          <w:sz w:val="26"/>
          <w:szCs w:val="26"/>
        </w:rPr>
        <w:t xml:space="preserve">IMPLEMENTATION ROADMAP</w:t>
      </w:r>
    </w:p>
    <w:p>
      <w:pPr>
        <w:spacing w:after="40"/>
      </w:pPr>
    </w:p>
    <w:tbl>
      <w:tblPr>
        <w:tblW w:type="dxa" w:w="9700"/>
        <w:tblBorders>
          <w:top w:val="single" w:color="C6CFDA" w:sz="4"/>
          <w:left w:val="single" w:color="C6CFDA" w:sz="4"/>
          <w:bottom w:val="single" w:color="C6CFDA" w:sz="4"/>
          <w:right w:val="single" w:color="C6CFDA" w:sz="4"/>
          <w:insideH w:val="single" w:color="D8DFE8" w:sz="2"/>
          <w:insideV w:val="single" w:color="D8DFE8" w:sz="2"/>
        </w:tblBorders>
      </w:tblPr>
      <w:tblGrid>
        <w:gridCol w:w="1500"/>
        <w:gridCol w:w="4400"/>
        <w:gridCol w:w="3800"/>
      </w:tblGrid>
      <w:tr>
        <w:trPr>
          <w:tblHeader/>
        </w:trPr>
        <w:tc>
          <w:tcPr>
            <w:tcW w:type="dxa" w:w="1500"/>
            <w:shd w:fill="15375E"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FFFFFF"/>
                <w:sz w:val="17"/>
                <w:szCs w:val="17"/>
              </w:rPr>
              <w:t xml:space="preserve">PHASE</w:t>
            </w:r>
          </w:p>
        </w:tc>
        <w:tc>
          <w:tcPr>
            <w:tcW w:type="dxa" w:w="4400"/>
            <w:shd w:fill="15375E"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FFFFFF"/>
                <w:sz w:val="17"/>
                <w:szCs w:val="17"/>
              </w:rPr>
              <w:t xml:space="preserve">ACTIVITY</w:t>
            </w:r>
          </w:p>
        </w:tc>
        <w:tc>
          <w:tcPr>
            <w:tcW w:type="dxa" w:w="3800"/>
            <w:shd w:fill="15375E"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FFFFFF"/>
                <w:sz w:val="17"/>
                <w:szCs w:val="17"/>
              </w:rPr>
              <w:t xml:space="preserve">MILESTONE / DELIVERABLE</w:t>
            </w:r>
          </w:p>
        </w:tc>
      </w:tr>
      <w:tr>
        <w:tc>
          <w:tcPr>
            <w:tcW w:type="dxa" w:w="1500"/>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Months 1–2</w:t>
            </w:r>
          </w:p>
        </w:tc>
        <w:tc>
          <w:tcPr>
            <w:tcW w:type="dxa" w:w="440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Youth co-design focus groups; SPF content workshop; scenario schema v1; evaluation instruments and consent pack finalised</w:t>
            </w:r>
          </w:p>
        </w:tc>
        <w:tc>
          <w:tcPr>
            <w:tcW w:type="dxa" w:w="380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Signed-off schema, instruments, consent workflow</w:t>
            </w:r>
          </w:p>
        </w:tc>
      </w:tr>
      <w:tr>
        <w:tc>
          <w:tcPr>
            <w:tcW w:type="dxa" w:w="15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Months 3–4</w:t>
            </w:r>
          </w:p>
        </w:tc>
        <w:tc>
          <w:tcPr>
            <w:tcW w:type="dxa" w:w="44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Core build: branching engine, Consequence Ledger, first three Guardians, twelve launch scenarios</w:t>
            </w:r>
          </w:p>
        </w:tc>
        <w:tc>
          <w:tcPr>
            <w:tcW w:type="dxa" w:w="38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Playable internal alpha</w:t>
            </w:r>
          </w:p>
        </w:tc>
      </w:tr>
      <w:tr>
        <w:tc>
          <w:tcPr>
            <w:tcW w:type="dxa" w:w="1500"/>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Months 5–6</w:t>
            </w:r>
          </w:p>
        </w:tc>
        <w:tc>
          <w:tcPr>
            <w:tcW w:type="dxa" w:w="440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Scenario Management Portal build and SPF officer training; closed pilot at Site 1 (n≈75) with baseline assessment</w:t>
            </w:r>
          </w:p>
        </w:tc>
        <w:tc>
          <w:tcPr>
            <w:tcW w:type="dxa" w:w="380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Portal live, officers publishing independently; baseline dataset</w:t>
            </w:r>
          </w:p>
        </w:tc>
      </w:tr>
      <w:tr>
        <w:tc>
          <w:tcPr>
            <w:tcW w:type="dxa" w:w="15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Months 7–8</w:t>
            </w:r>
          </w:p>
        </w:tc>
        <w:tc>
          <w:tcPr>
            <w:tcW w:type="dxa" w:w="44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Peer Shield Mode and remaining Guardians; pilot Sites 2–3 (n≈150)</w:t>
            </w:r>
          </w:p>
        </w:tc>
        <w:tc>
          <w:tcPr>
            <w:tcW w:type="dxa" w:w="38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Feature-complete build</w:t>
            </w:r>
          </w:p>
        </w:tc>
      </w:tr>
      <w:tr>
        <w:tc>
          <w:tcPr>
            <w:tcW w:type="dxa" w:w="1500"/>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Months 9–10</w:t>
            </w:r>
          </w:p>
        </w:tc>
        <w:tc>
          <w:tcPr>
            <w:tcW w:type="dxa" w:w="440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Flash Mission live-fire exercise with SPF against a current threat; Site 4 pilot; 30-day follow-up collection</w:t>
            </w:r>
          </w:p>
        </w:tc>
        <w:tc>
          <w:tcPr>
            <w:tcW w:type="dxa" w:w="380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Verified &lt;24h publish-to-live; complete dataset</w:t>
            </w:r>
          </w:p>
        </w:tc>
      </w:tr>
      <w:tr>
        <w:tc>
          <w:tcPr>
            <w:tcW w:type="dxa" w:w="15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Months 11–12</w:t>
            </w:r>
          </w:p>
        </w:tc>
        <w:tc>
          <w:tcPr>
            <w:tcW w:type="dxa" w:w="44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Analysis; evaluation write-up; open handover pack to SPF</w:t>
            </w:r>
          </w:p>
        </w:tc>
        <w:tc>
          <w:tcPr>
            <w:tcW w:type="dxa" w:w="38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Final report and national-rollout readiness review</w:t>
            </w:r>
          </w:p>
        </w:tc>
      </w:tr>
    </w:tbl>
    <w:p>
      <w:pPr>
        <w:pStyle w:val="Heading1"/>
        <w:pBdr>
          <w:bottom w:val="single" w:color="B8860B" w:sz="8" w:space="4"/>
        </w:pBdr>
        <w:spacing w:after="110" w:before="200"/>
      </w:pPr>
      <w:r>
        <w:rPr>
          <w:rFonts w:ascii="Calibri" w:cs="Calibri" w:eastAsia="Calibri" w:hAnsi="Calibri"/>
          <w:b/>
          <w:bCs/>
          <w:color w:val="B8860B"/>
          <w:sz w:val="26"/>
          <w:szCs w:val="26"/>
        </w:rPr>
        <w:t xml:space="preserve">9.  </w:t>
      </w:r>
      <w:r>
        <w:rPr>
          <w:rFonts w:ascii="Calibri" w:cs="Calibri" w:eastAsia="Calibri" w:hAnsi="Calibri"/>
          <w:b/>
          <w:bCs/>
          <w:color w:val="15375E"/>
          <w:spacing w:val="12"/>
          <w:sz w:val="26"/>
          <w:szCs w:val="26"/>
        </w:rPr>
        <w:t xml:space="preserve">RISK MANAGEMENT</w:t>
      </w:r>
    </w:p>
    <w:p>
      <w:pPr>
        <w:spacing w:after="40"/>
      </w:pPr>
    </w:p>
    <w:tbl>
      <w:tblPr>
        <w:tblW w:type="dxa" w:w="9700"/>
        <w:tblBorders>
          <w:top w:val="single" w:color="C6CFDA" w:sz="4"/>
          <w:left w:val="single" w:color="C6CFDA" w:sz="4"/>
          <w:bottom w:val="single" w:color="C6CFDA" w:sz="4"/>
          <w:right w:val="single" w:color="C6CFDA" w:sz="4"/>
          <w:insideH w:val="single" w:color="D8DFE8" w:sz="2"/>
          <w:insideV w:val="single" w:color="D8DFE8" w:sz="2"/>
        </w:tblBorders>
      </w:tblPr>
      <w:tblGrid>
        <w:gridCol w:w="3000"/>
        <w:gridCol w:w="1100"/>
        <w:gridCol w:w="5600"/>
      </w:tblGrid>
      <w:tr>
        <w:trPr>
          <w:tblHeader/>
        </w:trPr>
        <w:tc>
          <w:tcPr>
            <w:tcW w:type="dxa" w:w="3000"/>
            <w:shd w:fill="15375E"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FFFFFF"/>
                <w:sz w:val="17"/>
                <w:szCs w:val="17"/>
              </w:rPr>
              <w:t xml:space="preserve">RISK</w:t>
            </w:r>
          </w:p>
        </w:tc>
        <w:tc>
          <w:tcPr>
            <w:tcW w:type="dxa" w:w="1100"/>
            <w:shd w:fill="15375E"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FFFFFF"/>
                <w:sz w:val="17"/>
                <w:szCs w:val="17"/>
              </w:rPr>
              <w:t xml:space="preserve">RATING</w:t>
            </w:r>
          </w:p>
        </w:tc>
        <w:tc>
          <w:tcPr>
            <w:tcW w:type="dxa" w:w="5600"/>
            <w:shd w:fill="15375E"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FFFFFF"/>
                <w:sz w:val="17"/>
                <w:szCs w:val="17"/>
              </w:rPr>
              <w:t xml:space="preserve">MITIGATION</w:t>
            </w:r>
          </w:p>
        </w:tc>
      </w:tr>
      <w:tr>
        <w:tc>
          <w:tcPr>
            <w:tcW w:type="dxa" w:w="3000"/>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Engagement decays once novelty passes</w:t>
            </w:r>
          </w:p>
        </w:tc>
        <w:tc>
          <w:tcPr>
            <w:tcW w:type="dxa" w:w="110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Med / High</w:t>
            </w:r>
          </w:p>
        </w:tc>
        <w:tc>
          <w:tcPr>
            <w:tcW w:type="dxa" w:w="560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Flash Missions create recurring reasons to return; Guardian progression requires spaced practice by design; engagement telemetry reviewed fortnightly against a pre-committed content cadence</w:t>
            </w:r>
          </w:p>
        </w:tc>
      </w:tr>
      <w:tr>
        <w:tc>
          <w:tcPr>
            <w:tcW w:type="dxa" w:w="30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Content reads as instructional in offending</w:t>
            </w:r>
          </w:p>
        </w:tc>
        <w:tc>
          <w:tcPr>
            <w:tcW w:type="dxa" w:w="11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Low / Severe</w:t>
            </w:r>
          </w:p>
        </w:tc>
        <w:tc>
          <w:tcPr>
            <w:tcW w:type="dxa" w:w="56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Scenarios depict decision points only, never method; schema-enforced net-negative ledger; SPF content review gate before every publish</w:t>
            </w:r>
          </w:p>
        </w:tc>
      </w:tr>
      <w:tr>
        <w:tc>
          <w:tcPr>
            <w:tcW w:type="dxa" w:w="3000"/>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School access, consent delays, or under-recruitment</w:t>
            </w:r>
          </w:p>
        </w:tc>
        <w:tc>
          <w:tcPr>
            <w:tcW w:type="dxa" w:w="110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Med / Med</w:t>
            </w:r>
          </w:p>
        </w:tc>
        <w:tc>
          <w:tcPr>
            <w:tcW w:type="dxa" w:w="560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Parallel recruitment through Community Clubs and youth organisations; consent pack complete by Month 2; four sites sought so two can fall through; minimum viable analytic sample of n=120 pre-registered</w:t>
            </w:r>
          </w:p>
        </w:tc>
      </w:tr>
      <w:tr>
        <w:tc>
          <w:tcPr>
            <w:tcW w:type="dxa" w:w="30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Two-person team capacity alongside studies</w:t>
            </w:r>
          </w:p>
        </w:tc>
        <w:tc>
          <w:tcPr>
            <w:tcW w:type="dxa" w:w="11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Med / High</w:t>
            </w:r>
          </w:p>
        </w:tc>
        <w:tc>
          <w:tcPr>
            <w:tcW w:type="dxa" w:w="5600"/>
            <w:shd w:fill="EDF1F6" w:color="auto" w:val="clear"/>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Scope tiered into must/should/could; the S$3,000 lean plan is scoped to the must tier and is executable by two people; volunteer contributor pipeline from our institution</w:t>
            </w:r>
          </w:p>
        </w:tc>
      </w:tr>
      <w:tr>
        <w:tc>
          <w:tcPr>
            <w:tcW w:type="dxa" w:w="3000"/>
            <w:tcMar>
              <w:top w:type="dxa" w:w="45"/>
              <w:left w:type="dxa" w:w="95"/>
              <w:bottom w:type="dxa" w:w="45"/>
              <w:right w:type="dxa" w:w="95"/>
            </w:tcMar>
            <w:vAlign w:val="center"/>
          </w:tcPr>
          <w:p>
            <w:pPr>
              <w:spacing w:after="25" w:before="25" w:line="235"/>
              <w:jc w:val="left"/>
            </w:pPr>
            <w:r>
              <w:rPr>
                <w:rFonts w:ascii="Calibri" w:cs="Calibri" w:eastAsia="Calibri" w:hAnsi="Calibri"/>
                <w:b/>
                <w:bCs/>
                <w:i w:val="false"/>
                <w:iCs w:val="false"/>
                <w:color w:val="222222"/>
                <w:sz w:val="17"/>
                <w:szCs w:val="17"/>
              </w:rPr>
              <w:t xml:space="preserve">Data or privacy incident</w:t>
            </w:r>
          </w:p>
        </w:tc>
        <w:tc>
          <w:tcPr>
            <w:tcW w:type="dxa" w:w="110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Low / Severe</w:t>
            </w:r>
          </w:p>
        </w:tc>
        <w:tc>
          <w:tcPr>
            <w:tcW w:type="dxa" w:w="5600"/>
            <w:tcMar>
              <w:top w:type="dxa" w:w="45"/>
              <w:left w:type="dxa" w:w="95"/>
              <w:bottom w:type="dxa" w:w="45"/>
              <w:right w:type="dxa" w:w="95"/>
            </w:tcMar>
            <w:vAlign w:val="center"/>
          </w:tcPr>
          <w:p>
            <w:pPr>
              <w:spacing w:after="25" w:before="25" w:line="235"/>
              <w:jc w:val="left"/>
            </w:pPr>
            <w:r>
              <w:rPr>
                <w:rFonts w:ascii="Calibri" w:cs="Calibri" w:eastAsia="Calibri" w:hAnsi="Calibri"/>
                <w:b w:val="false"/>
                <w:bCs w:val="false"/>
                <w:i w:val="false"/>
                <w:iCs w:val="false"/>
                <w:color w:val="222222"/>
                <w:sz w:val="17"/>
                <w:szCs w:val="17"/>
              </w:rPr>
              <w:t xml:space="preserve">Pseudonymous by design; minimal collection; ASVS L1 self-assessment pre-pilot; external review before any scale-up; documented breach response</w:t>
            </w:r>
          </w:p>
        </w:tc>
      </w:tr>
    </w:tbl>
    <w:p>
      <w:pPr>
        <w:pStyle w:val="Heading1"/>
        <w:pBdr>
          <w:bottom w:val="single" w:color="B8860B" w:sz="8" w:space="4"/>
        </w:pBdr>
        <w:spacing w:after="110" w:before="200"/>
      </w:pPr>
      <w:r>
        <w:rPr>
          <w:rFonts w:ascii="Calibri" w:cs="Calibri" w:eastAsia="Calibri" w:hAnsi="Calibri"/>
          <w:b/>
          <w:bCs/>
          <w:color w:val="B8860B"/>
          <w:sz w:val="26"/>
          <w:szCs w:val="26"/>
        </w:rPr>
        <w:t xml:space="preserve">10.  </w:t>
      </w:r>
      <w:r>
        <w:rPr>
          <w:rFonts w:ascii="Calibri" w:cs="Calibri" w:eastAsia="Calibri" w:hAnsi="Calibri"/>
          <w:b/>
          <w:bCs/>
          <w:color w:val="15375E"/>
          <w:spacing w:val="12"/>
          <w:sz w:val="26"/>
          <w:szCs w:val="26"/>
        </w:rPr>
        <w:t xml:space="preserve">TEAM AND CONCLUSION</w:t>
      </w:r>
    </w:p>
    <w:p>
      <w:pPr>
        <w:spacing w:after="90" w:line="250"/>
        <w:jc w:val="both"/>
      </w:pPr>
      <w:r>
        <w:rPr>
          <w:rFonts w:ascii="Calibri" w:cs="Calibri" w:eastAsia="Calibri" w:hAnsi="Calibri"/>
          <w:b w:val="false"/>
          <w:bCs w:val="false"/>
          <w:i w:val="false"/>
          <w:iCs w:val="false"/>
          <w:color w:val="222222"/>
          <w:sz w:val="20"/>
          <w:szCs w:val="20"/>
        </w:rPr>
        <w:t xml:space="preserve">Team SecurePi is Felicia Tan Xiu Li and Charlisa. Between us we cover full-stack development in the exact stack proposed here, instructional and game design, and the youth-facing research access that makes co-design practical rather than notional. We are building this for people our own age, which means we will know when it is not working long before an evaluation instrument tells us.</w:t>
      </w:r>
    </w:p>
    <w:p>
      <w:pPr>
        <w:spacing w:after="90" w:line="250"/>
        <w:jc w:val="both"/>
      </w:pPr>
      <w:r>
        <w:rPr>
          <w:rFonts w:ascii="Calibri" w:cs="Calibri" w:eastAsia="Calibri" w:hAnsi="Calibri"/>
          <w:b w:val="false"/>
          <w:bCs w:val="false"/>
          <w:i w:val="false"/>
          <w:iCs w:val="false"/>
          <w:color w:val="222222"/>
          <w:sz w:val="20"/>
          <w:szCs w:val="20"/>
        </w:rPr>
        <w:t xml:space="preserve">Singapore does not have a crime prevention awareness problem among its young people. It has a rehearsal problem. Youths know the rules and still make the wrong call in the three seconds that matter, because knowing a rule and retrieving it under peer pressure are different skills — and only one of them is currently being taught. Project SHIELD builds the second: delayed consequences that behave like real ones, a bystander mode that gives young people a script for their friends, and a collection system that makes distributed practice something they choose rather than something imposed.</w:t>
      </w:r>
    </w:p>
    <w:p>
      <w:pPr>
        <w:spacing w:after="90" w:line="250"/>
        <w:jc w:val="both"/>
      </w:pPr>
      <w:r>
        <w:rPr>
          <w:rFonts w:ascii="Calibri" w:cs="Calibri" w:eastAsia="Calibri" w:hAnsi="Calibri"/>
          <w:b w:val="false"/>
          <w:bCs w:val="false"/>
          <w:i w:val="false"/>
          <w:iCs w:val="false"/>
          <w:color w:val="222222"/>
          <w:sz w:val="20"/>
          <w:szCs w:val="20"/>
        </w:rPr>
        <w:t xml:space="preserve">For SPF, the enduring asset is not the game. It is the Scenario Management Portal: a permanent, officer-operated channel through which any emerging threat can be turned into practised judgement in the youth population within twenty-four hours. We are asking for S$4,850 to prove that channel works, and we have shown we can prove it for S$3,000 if we must.</w:t>
      </w:r>
    </w:p>
    <w:sectPr>
      <w:footerReference w:type="default" r:id="rId7"/>
      <w:pgSz w:w="11906" w:h="16838" w:orient="portrait"/>
      <w:pgMar w:top="860" w:right="1000" w:bottom="76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CFDA" w:sz="4" w:space="6"/>
      </w:pBdr>
      <w:jc w:val="center"/>
    </w:pPr>
    <w:r>
      <w:rPr>
        <w:rFonts w:ascii="Calibri" w:cs="Calibri" w:eastAsia="Calibri" w:hAnsi="Calibri"/>
        <w:color w:val="5A5A5A"/>
        <w:sz w:val="15"/>
        <w:szCs w:val="15"/>
      </w:rPr>
      <w:t xml:space="preserve">Project SHIELD: SafeCity Guardians  ·  Team SecurePi  ·  Delta Challenge 2026, Track B  ·  Page </w:t>
    </w:r>
    <w:r>
      <w:rPr>
        <w:rFonts w:ascii="Calibri" w:cs="Calibri" w:eastAsia="Calibri" w:hAnsi="Calibri"/>
        <w:color w:val="5A5A5A"/>
        <w:sz w:val="15"/>
        <w:szCs w:val="15"/>
      </w:rPr>
      <w:fldChar w:fldCharType="begin"/>
      <w:instrText xml:space="preserve">PAGE</w:instrText>
      <w:fldChar w:fldCharType="separate"/>
      <w:fldChar w:fldCharType="end"/>
    </w:r>
    <w:r>
      <w:rPr>
        <w:rFonts w:ascii="Calibri" w:cs="Calibri" w:eastAsia="Calibri" w:hAnsi="Calibri"/>
        <w:color w:val="5A5A5A"/>
        <w:sz w:val="15"/>
        <w:szCs w:val="15"/>
      </w:rPr>
      <w:t xml:space="preserve"> of </w:t>
    </w:r>
    <w:r>
      <w:rPr>
        <w:rFonts w:ascii="Calibri" w:cs="Calibri" w:eastAsia="Calibri" w:hAnsi="Calibri"/>
        <w:color w:val="5A5A5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color w:val="B8860B"/>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5375E"/>
      <w:sz w:val="26"/>
      <w:szCs w:val="26"/>
    </w:rPr>
  </w:style>
  <w:style w:type="paragraph" w:styleId="Heading2">
    <w:name w:val="Heading 2"/>
    <w:basedOn w:val="Normal"/>
    <w:next w:val="Normal"/>
    <w:qFormat/>
    <w:rPr>
      <w:rFonts w:ascii="Calibri" w:cs="Calibri" w:eastAsia="Calibri" w:hAnsi="Calibri"/>
      <w:b/>
      <w:bCs/>
      <w:color w:val="15375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SHIELD: SafeCity Guardians — Delta Challenge 2026 Track B Proposal</dc:title>
  <dc:creator>Team SecurePi</dc:creator>
  <dc:description>Grant proposal for the Delta Challenge 2026, Track B: Crime Prevention</dc:description>
  <cp:lastModifiedBy>Un-named</cp:lastModifiedBy>
  <cp:revision>1</cp:revision>
  <dcterms:created xsi:type="dcterms:W3CDTF">2026-08-19T07:31:42.043Z</dcterms:created>
  <dcterms:modified xsi:type="dcterms:W3CDTF">2026-08-19T07:31:42.046Z</dcterms:modified>
</cp:coreProperties>
</file>

<file path=docProps/custom.xml><?xml version="1.0" encoding="utf-8"?>
<Properties xmlns="http://schemas.openxmlformats.org/officeDocument/2006/custom-properties" xmlns:vt="http://schemas.openxmlformats.org/officeDocument/2006/docPropsVTypes"/>
</file>