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5D8C"/>
          <w:sz w:val="17"/>
        </w:rPr>
        <w:t>КАРТОЧКА ИДЕЙ 3-024 · ВЕРСИЯ 2</w:t>
      </w:r>
    </w:p>
    <w:p>
      <w:pPr>
        <w:spacing w:after="80"/>
      </w:pPr>
      <w:r>
        <w:rPr>
          <w:b/>
          <w:color w:val="16365C"/>
          <w:sz w:val="40"/>
        </w:rPr>
        <w:t>Платёжная система с защитой данных и статистикой оборота</w:t>
      </w:r>
    </w:p>
    <w:p>
      <w:r>
        <w:rPr>
          <w:color w:val="6B7280"/>
          <w:sz w:val="19"/>
        </w:rPr>
        <w:t>Доработка по разбору от 12 октября 2026 г. (оценка версии 1 — 4,5; где рвалось — механика). Жёлтым выделено то, что автор должен вписать сам после проверки.</w:t>
      </w:r>
    </w:p>
    <w:p>
      <w:pPr>
        <w:pBdr>
          <w:bottom w:val="single" w:sz="8" w:space="1" w:color="2F5D8C"/>
        </w:pBdr>
        <w:spacing w:after="120"/>
      </w:pP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2F5D8C"/>
              <w:bottom w:val="nil"/>
              <w:right w:val="nil"/>
            </w:tcBorders>
            <w:shd w:val="clear" w:color="auto" w:fill="EEF4FB"/>
          </w:tcPr>
          <w:p>
            <w:pPr>
              <w:spacing w:after="40"/>
            </w:pPr>
            <w:r>
              <w:rPr>
                <w:b/>
                <w:color w:val="2F5D8C"/>
                <w:sz w:val="19"/>
              </w:rPr>
              <w:t xml:space="preserve">ЧТО ИЗМЕНИЛОСЬ.  </w:t>
            </w:r>
            <w:r>
              <w:rPr>
                <w:sz w:val="19"/>
              </w:rPr>
              <w:t xml:space="preserve">Вместо «платёжной системы для всех» карточка теперь описывает </w:t>
            </w:r>
            <w:r>
              <w:rPr>
                <w:b/>
                <w:sz w:val="19"/>
              </w:rPr>
              <w:t>приём оплаты по QR-коду для мелких продавцов без регистрации бизнеса</w:t>
            </w:r>
            <w:r>
              <w:rPr>
                <w:sz w:val="19"/>
              </w:rPr>
              <w:t>. Статистика оборота строится как побочный продукт: показано, кто её строит, по какому правилу, при каком размере группы цифра попадает в отчёт и кому уходит. Порог проверен на таблице из десяти платежей (приложение).</w:t>
            </w:r>
          </w:p>
        </w:tc>
      </w:tr>
    </w:tbl>
    <w:p>
      <w:pPr>
        <w:spacing w:after="0"/>
      </w:pP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558000"/>
            <wp:effectExtent l="0" t="0" r="0" b="0"/>
            <wp:docPr id="116" name="Схема 1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558000"/>
                      <a:chOff x="0" y="0"/>
                      <a:chExt cx="6120000" cy="5580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Участник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Shape 102"/>
                    <wps:cNvSpPr/>
                    <wps:spPr>
                      <a:xfrm>
                        <a:off x="774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Шаг процесса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Shape 103"/>
                    <wps:cNvSpPr/>
                    <wps:spPr>
                      <a:xfrm>
                        <a:off x="1548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Shape 104"/>
                    <wps:cNvSpPr/>
                    <wps:spPr>
                      <a:xfrm>
                        <a:off x="2322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Shape 105"/>
                    <wps:cNvSpPr/>
                    <wps:spPr>
                      <a:xfrm>
                        <a:off x="3096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Отказ / риск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Shape 106"/>
                    <wps:cNvSpPr/>
                    <wps:spPr>
                      <a:xfrm>
                        <a:off x="3870000" y="54000"/>
                        <a:ext cx="720000" cy="23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Результат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7" name="Shape 107"/>
                    <wps:cNvSpPr/>
                    <wps:spPr>
                      <a:xfrm>
                        <a:off x="4662000" y="0"/>
                        <a:ext cx="720000" cy="34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3"/>
                              <w:szCs w:val="13"/>
                            </w:rPr>
                            <w:t xml:space="preserve">Решение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8" name="Arrow 108"/>
                    <wps:cNvCnPr/>
                    <wps:spPr>
                      <a:xfrm>
                        <a:off x="0" y="468000"/>
                        <a:ext cx="576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9" name="Label 109"/>
                    <wps:cNvSpPr txBox="1"/>
                    <wps:spPr>
                      <a:xfrm>
                        <a:off x="612000" y="378000"/>
                        <a:ext cx="201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подпись на стрелке = что передаётся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0" name="Arrow 110"/>
                    <wps:cNvCnPr/>
                    <wps:spPr>
                      <a:xfrm>
                        <a:off x="266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1" name="Label 111"/>
                    <wps:cNvSpPr txBox="1"/>
                    <wps:spPr>
                      <a:xfrm>
                        <a:off x="320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деньги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2" name="Arrow 112"/>
                    <wps:cNvCnPr/>
                    <wps:spPr>
                      <a:xfrm>
                        <a:off x="374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3" name="Label 113"/>
                    <wps:cNvSpPr txBox="1"/>
                    <wps:spPr>
                      <a:xfrm>
                        <a:off x="4284000" y="378000"/>
                        <a:ext cx="504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данные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4" name="Arrow 114"/>
                    <wps:cNvCnPr/>
                    <wps:spPr>
                      <a:xfrm>
                        <a:off x="4824000" y="468000"/>
                        <a:ext cx="504000" cy="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15" name="Label 115"/>
                    <wps:cNvSpPr txBox="1"/>
                    <wps:spPr>
                      <a:xfrm>
                        <a:off x="5364000" y="378000"/>
                        <a:ext cx="756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4"/>
                              <w:szCs w:val="14"/>
                            </w:rPr>
                            <w:t xml:space="preserve">контроль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120"/>
      </w:pPr>
      <w:r>
        <w:rPr>
          <w:color w:val="6B7280"/>
          <w:sz w:val="17"/>
        </w:rPr>
        <w:t>Как читать схемы: цвет фигуры — роль, подпись на стрелке — что передаётся, пунктир — контроль или необязательный шаг.</w:t>
      </w:r>
    </w:p>
    <w:p>
      <w:pPr>
        <w:pStyle w:val="Heading1"/>
      </w:pPr>
      <w:r>
        <w:t>Карта правок: замечание → решение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928"/>
        <w:gridCol w:w="2381"/>
        <w:gridCol w:w="3912"/>
        <w:gridCol w:w="1417"/>
      </w:tblGrid>
      <w:tr>
        <w:trPr>
          <w:cantSplit/>
          <w:tblHeader/>
        </w:trPr>
        <w:tc>
          <w:tcPr>
            <w:tcW w:type="dxa" w:w="192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Проверяющий (балл v1)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хватало</w:t>
            </w:r>
          </w:p>
        </w:tc>
        <w:tc>
          <w:tcPr>
            <w:tcW w:type="dxa" w:w="391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сделано в версии 2</w:t>
            </w:r>
          </w:p>
        </w:tc>
        <w:tc>
          <w:tcPr>
            <w:tcW w:type="dxa" w:w="1417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Где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Проверяющий цепочку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строит статистику, при каком размере группы, как она доходит до получателя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Путь одного платежа от ввода до строки статистики; таблица полей «остаётся / убирается»; порог ≥ 5 получателей и ≤ 50 %; получатели и частота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6, схемы 4–5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Ищущий причину (2)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Число или случай из независимого источника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Разброс оценок неформальной экономики (22 % против 40 %; 2,5–4 млрд долл.) и доля неформальной занятости 16,1 % (Armstat, 2024)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2, схема 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Недовольный покупатель (2)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Один пользователь, один плательщик, выгода партнёра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Пользователь и плательщик — продавец без регистрации; государство — получатель статистики, не плательщик; выгода партнёра названа по пунктам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1, схема 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Библиотекарь (2)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Разбор ближайшего аналога, российские решения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СберИндекс и «Мой налог» (Россия), эквайринг банков и сводная статистика ЦБ (Армения) — что дают и чего не дают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Ответ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Ловец пустоты (1)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«Баланс», «минимизация», «законное решение» вместо механизма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Каждое такое слово заменено правилом: какое поле, кто удаляет, когда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Весь текст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Дневник роста (изобр. 3)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91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 снято своим ходом: признак «зарегистрирован / нет» ставит партнёр до обезличивания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Противоречие, схема 3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Научный руководитель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Ход на вечер: 10 платежей и порог</w:t>
            </w:r>
          </w:p>
        </w:tc>
        <w:tc>
          <w:tcPr>
            <w:tcW w:type="dxa" w:w="391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Таблица выполнена, порог записан и обоснован</w:t>
            </w:r>
          </w:p>
        </w:tc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Приложение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1. Сфера и почему: один пользователь, один плательщик</w:t>
      </w:r>
    </w:p>
    <w:p>
      <w:r>
        <w:rPr>
          <w:b/>
        </w:rPr>
        <w:t>Пользователь.</w:t>
      </w:r>
      <w:r>
        <w:t xml:space="preserve"> Ануш </w:t>
      </w:r>
      <w:r>
        <w:rPr>
          <w:highlight w:val="yellow"/>
        </w:rPr>
        <w:t>[пример-персонаж: заменить реальным продавцом после интервью]</w:t>
      </w:r>
      <w:r>
        <w:t xml:space="preserve"> торгует овощами на рынке в Ереване, бизнес не зарегистрирован. Покупатели всё чаще спрашивают «можно картой или переводом?». Перевод на личную карту ей неудобен: личные и торговые деньги смешиваются, итога за день нет. Часть покупателей без наличных уходит без покупки.</w:t>
      </w:r>
    </w:p>
    <w:p>
      <w:r>
        <w:rPr>
          <w:b/>
        </w:rPr>
        <w:t>Что она получает.</w:t>
      </w:r>
      <w:r>
        <w:t xml:space="preserve"> QR-код на прилавке, по которому покупатель платит из своего банковского приложения; отдельный торговый кошелёк; итог за день и неделю; подсказку, когда оборот подходит к уровню, при котором выгодно зарегистрироваться микропредпринимателем.</w:t>
      </w:r>
    </w:p>
    <w:p>
      <w:r>
        <w:rPr>
          <w:b/>
        </w:rPr>
        <w:t>Кто платит.</w:t>
      </w:r>
      <w:r>
        <w:t xml:space="preserve"> Сама продавщица — комиссией с каждого платежа </w:t>
      </w:r>
      <w:r>
        <w:rPr>
          <w:highlight w:val="yellow"/>
        </w:rPr>
        <w:t>[гипотеза: 1 %; сверить с тарифами партнёра]</w:t>
      </w:r>
      <w:r>
        <w:t>. Покупатель не платит ничего.</w:t>
      </w:r>
    </w:p>
    <w:p>
      <w:r>
        <w:rPr>
          <w:b/>
        </w:rPr>
        <w:t>Кто получает статистику.</w:t>
      </w:r>
      <w:r>
        <w:t xml:space="preserve"> Статкомитет (Armstat), Центральный банк и исследователи — бесплатно и в открытом виде. Это ответ на вопрос проверяющего «кто главный заказчик»: </w:t>
      </w:r>
      <w:r>
        <w:rPr>
          <w:b/>
        </w:rPr>
        <w:t>главный заказчик — продавец, он платит</w:t>
      </w:r>
      <w:r>
        <w:t>; государство — получатель статистики, оно не платит.</w:t>
      </w:r>
    </w:p>
    <w:p>
      <w:r>
        <w:rPr>
          <w:b/>
        </w:rPr>
        <w:t>Выгода лицензированного партнёра</w:t>
      </w:r>
      <w:r>
        <w:t xml:space="preserve"> (банк или платёжная организация), без которого схема не работает:</w:t>
      </w:r>
    </w:p>
    <w:p>
      <w:pPr>
        <w:pStyle w:val="ListBullet"/>
        <w:spacing w:after="40"/>
      </w:pPr>
      <w:r>
        <w:t xml:space="preserve">доля комиссии с каждого платежа </w:t>
      </w:r>
      <w:r>
        <w:rPr>
          <w:highlight w:val="yellow"/>
        </w:rPr>
        <w:t>[гипотеза: 0,7 п. п. из 1 %]</w:t>
      </w:r>
      <w:r>
        <w:t>;</w:t>
      </w:r>
    </w:p>
    <w:p>
      <w:pPr>
        <w:pStyle w:val="ListBullet"/>
        <w:spacing w:after="40"/>
      </w:pPr>
      <w:r>
        <w:t>новые клиенты, которых сейчас в банке нет вовсе, — продавцы, работающие только с наличными;</w:t>
      </w:r>
    </w:p>
    <w:p>
      <w:pPr>
        <w:pStyle w:val="ListBullet"/>
        <w:spacing w:after="40"/>
      </w:pPr>
      <w:r>
        <w:t>когда продавец регистрируется как бизнес, он открывает расчётный счёт у того же партнёра;</w:t>
      </w:r>
    </w:p>
    <w:p>
      <w:pPr>
        <w:pStyle w:val="ListBullet"/>
        <w:spacing w:after="40"/>
      </w:pPr>
      <w:r>
        <w:t>публичная роль: партнёр становится источником открытой статистики для государства без раскрытия своих клиентов.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1. </w:t>
      </w:r>
      <w:r>
        <w:rPr>
          <w:b/>
          <w:color w:val="16365C"/>
          <w:sz w:val="19"/>
        </w:rPr>
        <w:t>Кто что получает и кто платит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3024000"/>
            <wp:effectExtent l="0" t="0" r="0" b="0"/>
            <wp:docPr id="140" name="Схема 14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3024000"/>
                      <a:chOff x="0" y="0"/>
                      <a:chExt cx="6120000" cy="3024000"/>
                    </a:xfrm>
                  </wpg:grpSpPr>
                  <wps:wsp>
                    <wps:cNvPr id="117" name="Shape 117"/>
                    <wps:cNvSpPr/>
                    <wps:spPr>
                      <a:xfrm>
                        <a:off x="36000" y="180000"/>
                        <a:ext cx="1296000" cy="57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Покупатель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платит из своего банковского приложения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8" name="Shape 118"/>
                    <wps:cNvSpPr/>
                    <wps:spPr>
                      <a:xfrm>
                        <a:off x="2268000" y="108000"/>
                        <a:ext cx="1584000" cy="7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Лицензированный партнёр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банк / платёжная организация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проверяет клиента, держит 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9" name="Shape 119"/>
                    <wps:cNvSpPr/>
                    <wps:spPr>
                      <a:xfrm>
                        <a:off x="4788000" y="180000"/>
                        <a:ext cx="1296000" cy="57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Продавец (Ануш)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без регистрации бизнеса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платит комиссию 1 %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0" name="Arrow 120"/>
                    <wps:cNvCnPr/>
                    <wps:spPr>
                      <a:xfrm>
                        <a:off x="1332000" y="468000"/>
                        <a:ext cx="93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1" name="Label 121"/>
                    <wps:cNvSpPr txBox="1"/>
                    <wps:spPr>
                      <a:xfrm>
                        <a:off x="1404000" y="333000"/>
                        <a:ext cx="792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оплата по QR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5 000 драм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2" name="Arrow 122"/>
                    <wps:cNvCnPr/>
                    <wps:spPr>
                      <a:xfrm>
                        <a:off x="3852000" y="468000"/>
                        <a:ext cx="93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3" name="Label 123"/>
                    <wps:cNvSpPr txBox="1"/>
                    <wps:spPr>
                      <a:xfrm>
                        <a:off x="3924000" y="333000"/>
                        <a:ext cx="792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зачисление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4 950 драм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4" name="Shape 124"/>
                    <wps:cNvSpPr/>
                    <wps:spPr>
                      <a:xfrm>
                        <a:off x="2268000" y="1800000"/>
                        <a:ext cx="1584000" cy="7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Аналитический слой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наша команда, открытый код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строит ячейки и применяет порог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5" name="Shape 125"/>
                    <wps:cNvSpPr/>
                    <wps:spPr>
                      <a:xfrm>
                        <a:off x="4788000" y="1836000"/>
                        <a:ext cx="1296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Получатели статистики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Armstat, ЦБ, исследователи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6" name="Shape 126"/>
                    <wps:cNvSpPr/>
                    <wps:spPr>
                      <a:xfrm>
                        <a:off x="36000" y="1872000"/>
                        <a:ext cx="1296000" cy="57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5"/>
                              <w:szCs w:val="15"/>
                            </w:rPr>
                            <w:t xml:space="preserve">Внешний аудитор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5"/>
                              <w:szCs w:val="15"/>
                            </w:rPr>
                            <w:t xml:space="preserve">раз в полгода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7" name="Arrow 127"/>
                    <wps:cNvCnPr/>
                    <wps:spPr>
                      <a:xfrm>
                        <a:off x="2736000" y="828000"/>
                        <a:ext cx="0" cy="97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8" name="Label 128"/>
                    <wps:cNvSpPr txBox="1"/>
                    <wps:spPr>
                      <a:xfrm>
                        <a:off x="1926000" y="1179000"/>
                        <a:ext cx="792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доля комиссии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0,3 п. п.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9" name="Arrow 129"/>
                    <wps:cNvCnPr/>
                    <wps:spPr>
                      <a:xfrm>
                        <a:off x="3384000" y="828000"/>
                        <a:ext cx="0" cy="97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0" name="Label 130"/>
                    <wps:cNvSpPr txBox="1"/>
                    <wps:spPr>
                      <a:xfrm>
                        <a:off x="3420000" y="1179000"/>
                        <a:ext cx="1008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обезличенная выгрузка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раз в сутки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1" name="Arrow 131"/>
                    <wps:cNvCnPr/>
                    <wps:spPr>
                      <a:xfrm>
                        <a:off x="3852000" y="2160000"/>
                        <a:ext cx="93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2" name="Label 132"/>
                    <wps:cNvSpPr txBox="1"/>
                    <wps:spPr>
                      <a:xfrm>
                        <a:off x="3834000" y="2025000"/>
                        <a:ext cx="972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ячейки ≥ 5 получателей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каждый понедельник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3" name="Arrow 133"/>
                    <wps:cNvCnPr/>
                    <wps:spPr>
                      <a:xfrm>
                        <a:off x="1332000" y="2160000"/>
                        <a:ext cx="93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34" name="Label 134"/>
                    <wps:cNvSpPr txBox="1"/>
                    <wps:spPr>
                      <a:xfrm>
                        <a:off x="1404000" y="2025000"/>
                        <a:ext cx="792000" cy="27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проверка кода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и выгрузок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5" name="Arrow 135"/>
                    <wps:cNvCnPr/>
                    <wps:spPr>
                      <a:xfrm>
                        <a:off x="3708000" y="828000"/>
                        <a:ext cx="0" cy="1980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B5563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" name="Arrow 136"/>
                    <wps:cNvCnPr/>
                    <wps:spPr>
                      <a:xfrm>
                        <a:off x="3708000" y="1026000"/>
                        <a:ext cx="1728000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B5563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7" name="Arrow 137"/>
                    <wps:cNvCnPr/>
                    <wps:spPr>
                      <a:xfrm flipV="1">
                        <a:off x="5436000" y="756000"/>
                        <a:ext cx="0" cy="27000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4B5563"/>
                        </a:solidFill>
                        <a:prstDash val="dash"/>
                        <a:tailEnd type="triangle" w="med" len="med"/>
                      </a:ln>
                    </wps:spPr>
                    <wps:bodyPr/>
                  </wps:wsp>
                  <wps:wsp>
                    <wps:cNvPr id="138" name="Label 138"/>
                    <wps:cNvSpPr txBox="1"/>
                    <wps:spPr>
                      <a:xfrm>
                        <a:off x="4464000" y="1080000"/>
                        <a:ext cx="162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при обороте у порога —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3"/>
                              <w:szCs w:val="13"/>
                            </w:rPr>
                            <w:t xml:space="preserve">подсказка о регистрации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39" name="Label 139"/>
                    <wps:cNvSpPr txBox="1"/>
                    <wps:spPr>
                      <a:xfrm>
                        <a:off x="36000" y="2700000"/>
                        <a:ext cx="6048000" cy="21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6B7280"/>
                              <w:sz w:val="14"/>
                              <w:szCs w:val="14"/>
                            </w:rPr>
                            <w:t xml:space="preserve">Деньги не проходят через нашу команду: их держит партнёр. Мы получаем только обезличенную выгрузку и долю комиссии по договору.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2. О каких проблемах известно: причина, а не следствие</w:t>
      </w:r>
    </w:p>
    <w:p>
      <w:r>
        <w:rPr>
          <w:b/>
        </w:rPr>
        <w:t>Причина — разрыв между участниками.</w:t>
      </w:r>
      <w:r>
        <w:t xml:space="preserve"> Мелкая торговля идёт наличными или переводами на личную карту. Банк видит такой перевод как «перевод физлицу», а не как торговый оборот; налоговая его не видит; Статкомитет оценивает этот сегмент косвенно. Ни один участник не видит торговый поток целиком, поэтому оценки расходятся.</w:t>
      </w:r>
    </w:p>
    <w:p>
      <w:r>
        <w:rPr>
          <w:b/>
        </w:rPr>
        <w:t>Числа из независимых источников:</w:t>
      </w:r>
    </w:p>
    <w:p>
      <w:pPr>
        <w:pStyle w:val="ListBullet"/>
        <w:spacing w:after="40"/>
      </w:pPr>
      <w:r>
        <w:t xml:space="preserve">Доля неформальной занятости вне сельского хозяйства в Армении — </w:t>
      </w:r>
      <w:r>
        <w:rPr>
          <w:b/>
        </w:rPr>
        <w:t>16,1 % в 2024 г.</w:t>
      </w:r>
      <w:r>
        <w:t xml:space="preserve"> (18,0 % в 2023 г., 17,3 % в 2022 г.) — Armstat, индикатор ЦУР 8.3.1.</w:t>
      </w:r>
    </w:p>
    <w:p>
      <w:pPr>
        <w:pStyle w:val="ListBullet"/>
        <w:spacing w:after="40"/>
      </w:pPr>
      <w:r>
        <w:t xml:space="preserve">Оценки размера неформальной экономики расходятся почти вдвое: на обсуждении в Клубе экономических журналистов (2018) назывались </w:t>
      </w:r>
      <w:r>
        <w:rPr>
          <w:b/>
        </w:rPr>
        <w:t>22 % экономики «по одним оценкам» и 40 % по методике Шнайдера</w:t>
      </w:r>
      <w:r>
        <w:t xml:space="preserve">, в деньгах — </w:t>
      </w:r>
      <w:r>
        <w:rPr>
          <w:b/>
        </w:rPr>
        <w:t>2,5–4 млрд долл.</w:t>
      </w:r>
    </w:p>
    <w:p>
      <w:pPr>
        <w:pStyle w:val="ListBullet"/>
        <w:spacing w:after="40"/>
      </w:pPr>
      <w:r>
        <w:t xml:space="preserve">МВФ в обзоре теневых экономик мира оценил Армению примерно в </w:t>
      </w:r>
      <w:r>
        <w:rPr>
          <w:b/>
        </w:rPr>
        <w:t>36 % ВВП</w:t>
      </w:r>
      <w:r>
        <w:t xml:space="preserve"> (данные за 2015 г.).</w:t>
      </w: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B58B00"/>
              <w:bottom w:val="nil"/>
              <w:right w:val="nil"/>
            </w:tcBorders>
            <w:shd w:val="clear" w:color="auto" w:fill="FFF8E1"/>
          </w:tcPr>
          <w:p>
            <w:pPr>
              <w:spacing w:after="40"/>
            </w:pPr>
            <w:r>
              <w:rPr>
                <w:b/>
                <w:color w:val="B58B00"/>
                <w:sz w:val="19"/>
              </w:rPr>
              <w:t xml:space="preserve">ВЫВОД.  </w:t>
            </w:r>
            <w:r>
              <w:rPr>
                <w:sz w:val="19"/>
              </w:rPr>
              <w:t>Разница между 2,5 и 4 млрд долл. — это 1,5 млрд долл. неизвестности. Это и есть «ошибка в оценке», которую просил показать проверяющий: при таком разбросе нельзя надёжно посчитать ни недобор налогов, ни реальные доходы этой части экономики.</w:t>
            </w:r>
          </w:p>
        </w:tc>
      </w:tr>
    </w:tbl>
    <w:p>
      <w:pPr>
        <w:spacing w:after="0"/>
      </w:pPr>
    </w:p>
    <w:p>
      <w:r>
        <w:rPr>
          <w:highlight w:val="yellow"/>
        </w:rPr>
        <w:t>[ВПИСАТЬ после интервью с 5 продавцами: сколько покупателей в неделю уходят без покупки, потому что у них нет наличных, — дословные ответы]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2. </w:t>
      </w:r>
      <w:r>
        <w:rPr>
          <w:b/>
          <w:color w:val="16365C"/>
          <w:sz w:val="19"/>
        </w:rPr>
        <w:t>Цепочка причины: откуда берётся разброс оценок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080000"/>
            <wp:effectExtent l="0" t="0" r="0" b="0"/>
            <wp:docPr id="151" name="Схема 15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080000"/>
                      <a:chOff x="0" y="0"/>
                      <a:chExt cx="6120000" cy="1080000"/>
                    </a:xfrm>
                  </wpg:grpSpPr>
                  <wps:wsp>
                    <wps:cNvPr id="141" name="Shape 141"/>
                    <wps:cNvSpPr/>
                    <wps:spPr>
                      <a:xfrm>
                        <a:off x="0" y="144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Продавец берёт наличные или перевод на личную карту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2" name="Shape 142"/>
                    <wps:cNvSpPr/>
                    <wps:spPr>
                      <a:xfrm>
                        <a:off x="1260000" y="144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Банк видит «перевод физлицу», а не торговлю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3" name="Shape 143"/>
                    <wps:cNvSpPr/>
                    <wps:spPr>
                      <a:xfrm>
                        <a:off x="2520000" y="144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Налоговая и Armstat не видят этот оборот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4" name="Shape 144"/>
                    <wps:cNvSpPr/>
                    <wps:spPr>
                      <a:xfrm>
                        <a:off x="3780000" y="144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Оценки по косвенным методам: от 22 % до 40 %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5" name="Shape 145"/>
                    <wps:cNvSpPr/>
                    <wps:spPr>
                      <a:xfrm>
                        <a:off x="5040000" y="144000"/>
                        <a:ext cx="1080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Решения о налогах и поддержке — при разбросе 1,5 млрд долл.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6" name="Arrow 146"/>
                    <wps:cNvCnPr/>
                    <wps:spPr>
                      <a:xfrm>
                        <a:off x="1080000" y="486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7" name="Arrow 147"/>
                    <wps:cNvCnPr/>
                    <wps:spPr>
                      <a:xfrm>
                        <a:off x="2340000" y="486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8" name="Arrow 148"/>
                    <wps:cNvCnPr/>
                    <wps:spPr>
                      <a:xfrm>
                        <a:off x="3600000" y="486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9" name="Arrow 149"/>
                    <wps:cNvCnPr/>
                    <wps:spPr>
                      <a:xfrm>
                        <a:off x="4860000" y="486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50" name="Label 150"/>
                    <wps:cNvSpPr txBox="1"/>
                    <wps:spPr>
                      <a:xfrm>
                        <a:off x="0" y="882000"/>
                        <a:ext cx="612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8B1E14"/>
                              <w:sz w:val="15"/>
                              <w:szCs w:val="15"/>
                            </w:rPr>
                            <w:t xml:space="preserve">Разрыв: каждый видит свою часть потока, торговый оборот целиком не видит никто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3. Как проблема решается сейчас: ближайшие аналоги по существу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381"/>
        <w:gridCol w:w="2721"/>
        <w:gridCol w:w="2494"/>
      </w:tblGrid>
      <w:tr>
        <w:trPr>
          <w:cantSplit/>
          <w:tblHeader/>
        </w:trPr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даёт для статистики</w:t>
            </w:r>
          </w:p>
        </w:tc>
        <w:tc>
          <w:tcPr>
            <w:tcW w:type="dxa" w:w="272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Чего не даёт</w:t>
            </w:r>
          </w:p>
        </w:tc>
        <w:tc>
          <w:tcPr>
            <w:tcW w:type="dxa" w:w="249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Что добавляем мы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Эквайринг банков в Армении (терминалы, QR магазинов)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Оборот зарегистрированных торговых точек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Обычно оформляется на зарегистрированный бизнес — продавец без регистрации в него не попадает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Приём оплаты для продавца без регистрации через торговый кошелёк физлица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Сводная статистика ЦБ Армении (карты, электронные деньги)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Объёмы платежей по стране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Нет разреза «оборот продавцов без регистрации» по категориям и районам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Ячейки «категория × район × неделя» с долей оборота «без регистрации»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СберИндекс</w:t>
            </w:r>
            <w:r>
              <w:rPr>
                <w:sz w:val="17"/>
              </w:rPr>
              <w:t xml:space="preserve"> (Россия) — ближайший аналог аналитического слоя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Регулярные индексы потребительских расходов по данным транзакций по картам Сбера: по категориям, недельная и месячная динамика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Данные одного банка; продавцов без регистрации не выделяет; правило, по которому цифра попадает в публикацию, внешний аудитор проверить не может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Открытый код агрегации и открытое правило порога; признак «зарегистрирован / нет»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«Мой налог»</w:t>
            </w:r>
            <w:r>
              <w:rPr>
                <w:sz w:val="17"/>
              </w:rPr>
              <w:t xml:space="preserve"> (Россия, режим самозанятых) — ближайший аналог выхода из тени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15,1 млн зарегистрированных на 30.11.2025; доход свыше 3 трлн руб. за 2025 г.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Это налоговое приложение, а не способ принимать оплату; видит только тех, кто уже зарегистрировался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Обратный порядок: сначала удобный приём оплаты, потом подсказка о регистрации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Переводы на личную карту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Смешивают личное и торговое; в статистике выглядят как переводы между людьми</w:t>
            </w:r>
          </w:p>
        </w:tc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Торговый кошелёк отделён от личного</w:t>
            </w:r>
          </w:p>
        </w:tc>
      </w:tr>
    </w:tbl>
    <w:p>
      <w:pPr>
        <w:spacing w:after="40"/>
      </w:pPr>
    </w:p>
    <w:p>
      <w:pPr>
        <w:pStyle w:val="Heading1"/>
      </w:pPr>
      <w:r>
        <w:t>Противоречие и собственный ход</w:t>
      </w:r>
    </w:p>
    <w:p>
      <w:r>
        <w:rPr>
          <w:b/>
        </w:rPr>
        <w:t>Противоречие.</w:t>
      </w:r>
      <w:r>
        <w:t xml:space="preserve"> Чтобы отличить неформальную торговлю от обычной, системе нужно знать, зарегистрирован ли получатель. Но чтобы не раскрывать людей, аналитика не должна знать, кто получатель.</w:t>
      </w:r>
    </w:p>
    <w:p>
      <w:r>
        <w:rPr>
          <w:b/>
        </w:rPr>
        <w:t>Ход.</w:t>
      </w:r>
      <w:r>
        <w:t xml:space="preserve"> Признак ставит тот, кто и так обязан знать клиента, — лицензированный партнёр при проверке клиента. Признак «получатель зарегистрирован как бизнес: да / нет» прикрепляется к платежу </w:t>
      </w:r>
      <w:r>
        <w:rPr>
          <w:b/>
        </w:rPr>
        <w:t>до</w:t>
      </w:r>
      <w:r>
        <w:t xml:space="preserve"> обезличивания, а личность — нет. Аналитика получает признак, но не человека. Открытый код выгрузки позволяет аудитору проверить, что из партнёра выходят только перечисленные поля.</w:t>
      </w:r>
    </w:p>
    <w:p>
      <w:r>
        <w:rPr>
          <w:b/>
        </w:rPr>
        <w:t>Почему прежние решения этого не делали.</w:t>
      </w:r>
      <w:r>
        <w:t xml:space="preserve"> Банковская статистика (как СберИндекс) строится по тем, кто уже принимает оплату как торговец. Продавец без регистрации туда не попадает, потому что терминал ему не выдают. Наш вход — именно продавец без терминала.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3. </w:t>
      </w:r>
      <w:r>
        <w:rPr>
          <w:b/>
          <w:color w:val="16365C"/>
          <w:sz w:val="19"/>
        </w:rPr>
        <w:t>Как ход снимает противоречие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656000"/>
            <wp:effectExtent l="0" t="0" r="0" b="0"/>
            <wp:docPr id="163" name="Схема 16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656000"/>
                      <a:chOff x="0" y="0"/>
                      <a:chExt cx="6120000" cy="1656000"/>
                    </a:xfrm>
                  </wpg:grpSpPr>
                  <wps:wsp>
                    <wps:cNvPr id="152" name="Shape 152"/>
                    <wps:cNvSpPr/>
                    <wps:spPr>
                      <a:xfrm>
                        <a:off x="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Нужно знать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зарегистрирован ли получатель — иначе не отличить неформальный оборот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3" name="Shape 153"/>
                    <wps:cNvSpPr/>
                    <wps:spPr>
                      <a:xfrm>
                        <a:off x="36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E1A12"/>
                              <w:sz w:val="15"/>
                              <w:szCs w:val="15"/>
                            </w:rPr>
                            <w:t xml:space="preserve">Нельзя знать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кто получатель — иначе нарушена приватность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4" name="Arrow 154"/>
                    <wps:cNvCnPr/>
                    <wps:spPr>
                      <a:xfrm>
                        <a:off x="2448000" y="342000"/>
                        <a:ext cx="12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  <wps:wsp>
                    <wps:cNvPr id="155" name="Label 155"/>
                    <wps:cNvSpPr txBox="1"/>
                    <wps:spPr>
                      <a:xfrm>
                        <a:off x="2700000" y="25200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противоречие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56" name="Shape 156"/>
                    <wps:cNvSpPr/>
                    <wps:spPr>
                      <a:xfrm>
                        <a:off x="1296000" y="1008000"/>
                        <a:ext cx="3528000" cy="576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Ход: признак ставит партнёр до обезличивания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аналитика видит «да / нет», но не видит человека; аудитор проверяет список полей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7" name="Arrow 157"/>
                    <wps:cNvCnPr/>
                    <wps:spPr>
                      <a:xfrm>
                        <a:off x="12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58" name="Arrow 158"/>
                    <wps:cNvCnPr/>
                    <wps:spPr>
                      <a:xfrm>
                        <a:off x="126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59" name="Arrow 159"/>
                    <wps:cNvCnPr/>
                    <wps:spPr>
                      <a:xfrm>
                        <a:off x="180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0" name="Arrow 160"/>
                    <wps:cNvCnPr/>
                    <wps:spPr>
                      <a:xfrm>
                        <a:off x="48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1" name="Arrow 161"/>
                    <wps:cNvCnPr/>
                    <wps:spPr>
                      <a:xfrm flipH="1">
                        <a:off x="432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62" name="Arrow 162"/>
                    <wps:cNvCnPr/>
                    <wps:spPr>
                      <a:xfrm>
                        <a:off x="432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Ответ 6. Способ решения: путь одного платежа от ввода до строки статистики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1.</w:t>
        <w:tab/>
      </w:r>
      <w:r>
        <w:rPr>
          <w:b/>
        </w:rPr>
        <w:t>Регистрация.</w:t>
      </w:r>
      <w:r>
        <w:t xml:space="preserve"> Продавец ставит приложение и проходит проверку клиента у партнёра </w:t>
      </w:r>
      <w:r>
        <w:rPr>
          <w:highlight w:val="yellow"/>
        </w:rPr>
        <w:t>[уточнить у партнёра состав проверки: ID-карта, телефон, селфи]</w:t>
      </w:r>
      <w:r>
        <w:t>. Решение о допуске принимает партнёр. Мы проверку не проводим и паспортных данных не храним.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2.</w:t>
        <w:tab/>
      </w:r>
      <w:r>
        <w:rPr>
          <w:b/>
        </w:rPr>
        <w:t>Платёж.</w:t>
      </w:r>
      <w:r>
        <w:t xml:space="preserve"> Покупатель сканирует QR продавца и платит из своего банковского приложения </w:t>
      </w:r>
      <w:r>
        <w:rPr>
          <w:highlight w:val="yellow"/>
        </w:rPr>
        <w:t>[уточнить, поддерживает ли партнёр QR-переводы между банками]</w:t>
      </w:r>
      <w:r>
        <w:t>. Деньги держит партнёр на кошельке продавца. Наша команда деньги не держит.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3.</w:t>
        <w:tab/>
      </w:r>
      <w:r>
        <w:rPr>
          <w:b/>
        </w:rPr>
        <w:t>Пометка (у партнёра, в момент платежа).</w:t>
      </w:r>
      <w:r>
        <w:t xml:space="preserve"> К записи добавляются три признака: категория продавца (выбрана при регистрации: «продукты», «ремонт», «репетиторство»…), административный район точки продажи и статус «зарегистрирован как бизнес: да / нет» (по налоговому номеру).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4.</w:t>
        <w:tab/>
      </w:r>
      <w:r>
        <w:rPr>
          <w:b/>
        </w:rPr>
        <w:t>Обезличивание (у партнёра, раз в сутки).</w:t>
      </w:r>
      <w:r>
        <w:t xml:space="preserve"> Удаляются ФИО, телефон, данные плательщика, точное время (остаётся неделя). Номер кошелька продавца заменяется хешем с секретным ключом партнёра (ключ меняется раз в квартал) — хеш нужен только чтобы считать, сколько разных продавцов в ячейке.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5.</w:t>
        <w:tab/>
      </w:r>
      <w:r>
        <w:rPr>
          <w:b/>
        </w:rPr>
        <w:t>Агрегация (у нас, открытый код).</w:t>
      </w:r>
      <w:r>
        <w:t xml:space="preserve"> Записи сводятся в ячейки «категория × район × неделя». Для каждой считаются: оборот, число платежей, число разных продавцов, доля крупнейшего продавца, доля оборота «без регистрации».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6.</w:t>
        <w:tab/>
      </w:r>
      <w:r>
        <w:rPr>
          <w:b/>
        </w:rPr>
        <w:t>Порог.</w:t>
      </w:r>
      <w:r>
        <w:t xml:space="preserve"> Ячейка публикуется, только если в ней </w:t>
      </w:r>
      <w:r>
        <w:rPr>
          <w:b/>
        </w:rPr>
        <w:t>не меньше 5 разных продавцов и ни один не даёт больше 50 % оборота</w:t>
      </w:r>
      <w:r>
        <w:t>. Иначе она объединяется с соседней (район → весь Ереван; категория → «все товары»), пока не пройдёт порог; если не проходит — не публикуется.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7.</w:t>
        <w:tab/>
      </w:r>
      <w:r>
        <w:rPr>
          <w:b/>
        </w:rPr>
        <w:t>Передача.</w:t>
      </w:r>
      <w:r>
        <w:t xml:space="preserve"> Каждый понедельник таблица ячеек публикуется на открытой странице и отправляется в Armstat и ЦБ в машиночитаемом виде (CSV и описание полей). Хешей в публикации нет.</w:t>
      </w:r>
    </w:p>
    <w:p>
      <w:pPr>
        <w:tabs>
          <w:tab w:val="left" w:pos="397"/>
        </w:tabs>
        <w:spacing w:after="60"/>
        <w:ind w:left="397" w:hanging="397"/>
      </w:pPr>
      <w:r>
        <w:rPr>
          <w:b/>
          <w:color w:val="2F5D8C"/>
        </w:rPr>
        <w:t>8.</w:t>
        <w:tab/>
      </w:r>
      <w:r>
        <w:rPr>
          <w:b/>
        </w:rPr>
        <w:t>Контроль.</w:t>
      </w:r>
      <w:r>
        <w:t xml:space="preserve"> Раз в полгода внешний аудитор проверяет, что выгрузка партнёра содержит только поля из шага 4 и что работающий код агрегации совпадает с опубликованным.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4. </w:t>
      </w:r>
      <w:r>
        <w:rPr>
          <w:b/>
          <w:color w:val="16365C"/>
          <w:sz w:val="19"/>
        </w:rPr>
        <w:t>Путь одного платежа: какие поля остаются и кто их убирает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376000"/>
            <wp:effectExtent l="0" t="0" r="0" b="0"/>
            <wp:docPr id="179" name="Схема 17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376000"/>
                      <a:chOff x="0" y="0"/>
                      <a:chExt cx="6120000" cy="2376000"/>
                    </a:xfrm>
                  </wpg:grpSpPr>
                  <wps:wsp>
                    <wps:cNvPr id="164" name="Shape 164"/>
                    <wps:cNvSpPr/>
                    <wps:spPr>
                      <a:xfrm>
                        <a:off x="0" y="0"/>
                        <a:ext cx="3654000" cy="187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noFill/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5" name="Shape 165"/>
                    <wps:cNvSpPr/>
                    <wps:spPr>
                      <a:xfrm>
                        <a:off x="3762000" y="0"/>
                        <a:ext cx="2358000" cy="187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noFill/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6" name="Label 166"/>
                    <wps:cNvSpPr txBox="1"/>
                    <wps:spPr>
                      <a:xfrm>
                        <a:off x="36000" y="18000"/>
                        <a:ext cx="3564000" cy="1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4"/>
                              <w:szCs w:val="14"/>
                            </w:rPr>
                            <w:t xml:space="preserve">ЗОНА ПАРТНЁРА — лицензия, проверка клиента, деньги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67" name="Label 167"/>
                    <wps:cNvSpPr txBox="1"/>
                    <wps:spPr>
                      <a:xfrm>
                        <a:off x="3798000" y="18000"/>
                        <a:ext cx="2268000" cy="1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4"/>
                              <w:szCs w:val="14"/>
                            </w:rPr>
                            <w:t xml:space="preserve">НАША ЗОНА — открытый код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68" name="Shape 168"/>
                    <wps:cNvSpPr/>
                    <wps:spPr>
                      <a:xfrm>
                        <a:off x="72000" y="234000"/>
                        <a:ext cx="1062000" cy="15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1–2. Платёж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кто: ФИО продавца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кому: кошелёк продавца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плательщик: карта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сумма: 5 000 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время: 14:32, 12.10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точка: рынок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9" name="Shape 169"/>
                    <wps:cNvSpPr/>
                    <wps:spPr>
                      <a:xfrm>
                        <a:off x="1296000" y="234000"/>
                        <a:ext cx="1062000" cy="15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4"/>
                              <w:szCs w:val="14"/>
                            </w:rPr>
                            <w:t xml:space="preserve">3. Пометка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4"/>
                              <w:szCs w:val="14"/>
                            </w:rPr>
                            <w:t xml:space="preserve">+ категория: «продукты»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4"/>
                              <w:szCs w:val="14"/>
                            </w:rPr>
                            <w:t xml:space="preserve">+ район: Кентрон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4"/>
                              <w:szCs w:val="14"/>
                            </w:rPr>
                            <w:t xml:space="preserve">+ зарегистрирован: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4"/>
                              <w:szCs w:val="14"/>
                            </w:rPr>
                            <w:t xml:space="preserve">(ставит партнёр, он знает клиента)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0" name="Shape 170"/>
                    <wps:cNvSpPr/>
                    <wps:spPr>
                      <a:xfrm>
                        <a:off x="2520000" y="234000"/>
                        <a:ext cx="1062000" cy="15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4"/>
                              <w:szCs w:val="14"/>
                            </w:rPr>
                            <w:t xml:space="preserve">4. Обезличивание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– ФИО, телефон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– данные плательщика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– время → неделя 42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кошелёк → хеш П1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сумма, категория, район, признак остаются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1" name="Shape 171"/>
                    <wps:cNvSpPr/>
                    <wps:spPr>
                      <a:xfrm>
                        <a:off x="3834000" y="234000"/>
                        <a:ext cx="1062000" cy="15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4"/>
                              <w:szCs w:val="14"/>
                            </w:rPr>
                            <w:t xml:space="preserve">5–6. Ячейка и порог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продукты × Кентрон × нед. 42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оборот: 27 000 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продавцов: 6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крупнейший: 31 %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→ порог пройден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2" name="Shape 172"/>
                    <wps:cNvSpPr/>
                    <wps:spPr>
                      <a:xfrm>
                        <a:off x="5040000" y="234000"/>
                        <a:ext cx="1062000" cy="15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4"/>
                              <w:szCs w:val="14"/>
                            </w:rPr>
                            <w:t xml:space="preserve">7. Строка статистики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продукты, Кентрон, нед. 42: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27 000 драм, 7 платежей,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доля «без регистрации» — по ячейке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без хешей и имён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3" name="Arrow 173"/>
                    <wps:cNvCnPr/>
                    <wps:spPr>
                      <a:xfrm>
                        <a:off x="1134000" y="1008000"/>
                        <a:ext cx="16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4" name="Arrow 174"/>
                    <wps:cNvCnPr/>
                    <wps:spPr>
                      <a:xfrm>
                        <a:off x="2358000" y="1008000"/>
                        <a:ext cx="16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5" name="Arrow 175"/>
                    <wps:cNvCnPr/>
                    <wps:spPr>
                      <a:xfrm>
                        <a:off x="3582000" y="1008000"/>
                        <a:ext cx="25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6" name="Arrow 176"/>
                    <wps:cNvCnPr/>
                    <wps:spPr>
                      <a:xfrm>
                        <a:off x="4896000" y="1008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7" name="Label 177"/>
                    <wps:cNvSpPr txBox="1"/>
                    <wps:spPr>
                      <a:xfrm>
                        <a:off x="0" y="1926000"/>
                        <a:ext cx="612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5"/>
                              <w:szCs w:val="15"/>
                            </w:rPr>
                            <w:t xml:space="preserve">Кто делает:  шаги 1–4 — партнёр (у него лицензия и данные клиента)  ·  шаги 5–7 — наша команда  ·  шаг 8 — внешний аудитор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78" name="Label 178"/>
                    <wps:cNvSpPr txBox="1"/>
                    <wps:spPr>
                      <a:xfrm>
                        <a:off x="0" y="2106000"/>
                        <a:ext cx="612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6B7280"/>
                              <w:sz w:val="14"/>
                              <w:szCs w:val="14"/>
                            </w:rPr>
                            <w:t xml:space="preserve">Пример по таблице из приложения: 7 платежей шести продавцов дают одну опубликованную строку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3"/>
      </w:pPr>
      <w:r>
        <w:t>Какие поля остаются, а какие убираются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1474"/>
        <w:gridCol w:w="2835"/>
        <w:gridCol w:w="2721"/>
      </w:tblGrid>
      <w:tr>
        <w:trPr>
          <w:cantSplit/>
          <w:tblHeader/>
        </w:trPr>
        <w:tc>
          <w:tcPr>
            <w:tcW w:type="dxa" w:w="260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Поле платежа</w:t>
            </w:r>
          </w:p>
        </w:tc>
        <w:tc>
          <w:tcPr>
            <w:tcW w:type="dxa" w:w="1474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У партнёра</w:t>
            </w:r>
          </w:p>
        </w:tc>
        <w:tc>
          <w:tcPr>
            <w:tcW w:type="dxa" w:w="283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 выгрузке для аналитики</w:t>
            </w:r>
          </w:p>
        </w:tc>
        <w:tc>
          <w:tcPr>
            <w:tcW w:type="dxa" w:w="272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 публикации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ФИО, телефон продавца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удалено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Номер кошелька продавца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хеш (только для подсчёта продавцов)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Данные плательщика (карта, ID)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удалено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Сумма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только сумма по ячейке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Дата и время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неделя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неделя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Категория продавца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Адрес точки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район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район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Зарегистрирован как бизнес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есть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да / нет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доля оборота «нет» в ячейке</w:t>
            </w:r>
          </w:p>
        </w:tc>
      </w:tr>
    </w:tbl>
    <w:p>
      <w:pPr>
        <w:spacing w:after="40"/>
      </w:pPr>
    </w:p>
    <w:p>
      <w:r>
        <w:rPr>
          <w:b/>
        </w:rPr>
        <w:t>Законное основание</w:t>
      </w:r>
      <w:r>
        <w:t xml:space="preserve"> для передачи данных в аналитику </w:t>
      </w:r>
      <w:r>
        <w:rPr>
          <w:highlight w:val="yellow"/>
        </w:rPr>
        <w:t>[подтвердить у юриста по Закону РА «О защите персональных данных»]</w:t>
      </w:r>
      <w:r>
        <w:t>: в выгрузку попадают только сведения без персональных данных, а согласие продавца на участие в статистике — отдельный пункт договора при регистрации.</w:t>
      </w:r>
    </w:p>
    <w:p>
      <w:pPr>
        <w:keepNext/>
        <w:spacing w:before="120" w:after="0"/>
      </w:pPr>
      <w:r>
        <w:rPr>
          <w:b/>
          <w:color w:val="2F5D8C"/>
          <w:sz w:val="19"/>
        </w:rPr>
        <w:t xml:space="preserve">Схема 5. </w:t>
      </w:r>
      <w:r>
        <w:rPr>
          <w:b/>
          <w:color w:val="16365C"/>
          <w:sz w:val="19"/>
        </w:rPr>
        <w:t>Правило порога: когда цифру можно показывать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800000"/>
            <wp:effectExtent l="0" t="0" r="0" b="0"/>
            <wp:docPr id="200" name="Схема 20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800000"/>
                      <a:chOff x="0" y="0"/>
                      <a:chExt cx="6120000" cy="1800000"/>
                    </a:xfrm>
                  </wpg:grpSpPr>
                  <wps:wsp>
                    <wps:cNvPr id="180" name="Shape 180"/>
                    <wps:cNvSpPr/>
                    <wps:spPr>
                      <a:xfrm>
                        <a:off x="36000" y="234000"/>
                        <a:ext cx="1224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Ячейка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категория × район × неделя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1" name="Shape 181"/>
                    <wps:cNvSpPr/>
                    <wps:spPr>
                      <a:xfrm>
                        <a:off x="1440000" y="72000"/>
                        <a:ext cx="1404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Разных продавцов ≥ 5?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2" name="Shape 182"/>
                    <wps:cNvSpPr/>
                    <wps:spPr>
                      <a:xfrm>
                        <a:off x="3096000" y="72000"/>
                        <a:ext cx="1404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Крупнейший ≤ 50 % оборота?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3" name="Shape 183"/>
                    <wps:cNvSpPr/>
                    <wps:spPr>
                      <a:xfrm>
                        <a:off x="4824000" y="234000"/>
                        <a:ext cx="1260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6"/>
                              <w:szCs w:val="16"/>
                            </w:rPr>
                            <w:t xml:space="preserve">Публиковать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4" name="Shape 184"/>
                    <wps:cNvSpPr/>
                    <wps:spPr>
                      <a:xfrm>
                        <a:off x="1656000" y="1188000"/>
                        <a:ext cx="2412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Объединить с соседней ячейкой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район → весь Ереван; категория → «все товары»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5" name="Shape 185"/>
                    <wps:cNvSpPr/>
                    <wps:spPr>
                      <a:xfrm>
                        <a:off x="4824000" y="1188000"/>
                        <a:ext cx="1260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6E1A12"/>
                              <w:sz w:val="16"/>
                              <w:szCs w:val="16"/>
                            </w:rPr>
                            <w:t xml:space="preserve">Не публиковать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86" name="Arrow 186"/>
                    <wps:cNvCnPr/>
                    <wps:spPr>
                      <a:xfrm>
                        <a:off x="1260000" y="468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7" name="Arrow 187"/>
                    <wps:cNvCnPr/>
                    <wps:spPr>
                      <a:xfrm>
                        <a:off x="2844000" y="468000"/>
                        <a:ext cx="25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8" name="Label 188"/>
                    <wps:cNvSpPr txBox="1"/>
                    <wps:spPr>
                      <a:xfrm>
                        <a:off x="2844000" y="378000"/>
                        <a:ext cx="25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89" name="Arrow 189"/>
                    <wps:cNvCnPr/>
                    <wps:spPr>
                      <a:xfrm>
                        <a:off x="4500000" y="468000"/>
                        <a:ext cx="3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0" name="Label 190"/>
                    <wps:cNvSpPr txBox="1"/>
                    <wps:spPr>
                      <a:xfrm>
                        <a:off x="4536000" y="378000"/>
                        <a:ext cx="25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1" name="Arrow 191"/>
                    <wps:cNvCnPr/>
                    <wps:spPr>
                      <a:xfrm>
                        <a:off x="2142000" y="864000"/>
                        <a:ext cx="0" cy="32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2" name="Label 192"/>
                    <wps:cNvSpPr txBox="1"/>
                    <wps:spPr>
                      <a:xfrm>
                        <a:off x="2016000" y="936000"/>
                        <a:ext cx="25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3" name="Arrow 193"/>
                    <wps:cNvCnPr/>
                    <wps:spPr>
                      <a:xfrm>
                        <a:off x="3798000" y="864000"/>
                        <a:ext cx="0" cy="32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4" name="Label 194"/>
                    <wps:cNvSpPr txBox="1"/>
                    <wps:spPr>
                      <a:xfrm>
                        <a:off x="3672000" y="936000"/>
                        <a:ext cx="25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5" name="Arrow 195"/>
                    <wps:cNvCnPr/>
                    <wps:spPr>
                      <a:xfrm flipH="1">
                        <a:off x="648000" y="1440000"/>
                        <a:ext cx="1008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96" name="Arrow 196"/>
                    <wps:cNvCnPr/>
                    <wps:spPr>
                      <a:xfrm flipV="1">
                        <a:off x="648000" y="702000"/>
                        <a:ext cx="0" cy="73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7" name="Label 197"/>
                    <wps:cNvSpPr txBox="1"/>
                    <wps:spPr>
                      <a:xfrm>
                        <a:off x="756000" y="1350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проверить снова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8" name="Arrow 198"/>
                    <wps:cNvCnPr/>
                    <wps:spPr>
                      <a:xfrm>
                        <a:off x="4068000" y="1440000"/>
                        <a:ext cx="75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99" name="Label 199"/>
                    <wps:cNvSpPr txBox="1"/>
                    <wps:spPr>
                      <a:xfrm>
                        <a:off x="4104000" y="1314000"/>
                        <a:ext cx="684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объединять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некуда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3"/>
      </w:pPr>
      <w:r>
        <w:t>Ответы на вопросы проверяющего к схеме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381"/>
        <w:gridCol w:w="5216"/>
      </w:tblGrid>
      <w:tr>
        <w:trPr>
          <w:cantSplit/>
          <w:tblHeader/>
        </w:trPr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16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Статистический слой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строит?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Наша команда, по открытому коду, из обезличенной выгрузки партнёра. Государство — только получатель.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Размер группы и кто устанавливает порог?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≥ 5 разных продавцов и ≤ 50 % у крупнейшего (проверено в приложении). Порог записан в открытом коде; менять его можно только публично, с записью в журнале изменений.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 отличить неформальную деятельность?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 признаку «зарегистрирован: да / нет», который ставит партнёр до обезличивания. Доля оборота «нет» в ячейке — и есть искомая цифра.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Частота и форма передачи?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Раз в неделю, по понедельникам: открытая страница и CSV с описанием полей для Armstat и ЦБ.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Платёжный модуль и партнёр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оператор и кто держит деньги?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Оператор платежей и держатель денег — лицензированный партнёр. Наша команда — поставщик приложения и аналитики по договору.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Выгода партнёра?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Доля комиссии, новые клиенты без счёта в банке, будущие расчётные счета зарегистрировавшихся продавцов.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Кто проверяет пользователя?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Партнёр, по своим правилам проверки клиента и противодействия отмыванию денег.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Обобщённые данные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Какие поля остаются?</w:t>
            </w:r>
          </w:p>
        </w:tc>
        <w:tc>
          <w:tcPr>
            <w:tcW w:type="dxa" w:w="5216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Сумма, неделя, категория, район, признак регистрации, хеш продавца (только до агрегации). См. таблицу полей.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Законное основание и кто решает?</w:t>
            </w:r>
          </w:p>
        </w:tc>
        <w:tc>
          <w:tcPr>
            <w:tcW w:type="dxa" w:w="5216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 выгрузке нет персональных данных; участие в статистике — пункт договора с продавцом. Окончательно — заключение юриста партнёра.</w:t>
            </w:r>
          </w:p>
        </w:tc>
      </w:tr>
    </w:tbl>
    <w:p>
      <w:pPr>
        <w:spacing w:after="40"/>
      </w:pPr>
    </w:p>
    <w:p>
      <w:pPr>
        <w:pStyle w:val="Heading1"/>
      </w:pPr>
      <w:r>
        <w:t>Ответ 7. Почему это сработает</w:t>
      </w:r>
    </w:p>
    <w:p>
      <w:pPr>
        <w:pStyle w:val="ListBullet"/>
        <w:spacing w:after="40"/>
      </w:pPr>
      <w:r>
        <w:rPr>
          <w:b/>
        </w:rPr>
        <w:t>Продавцу:</w:t>
      </w:r>
      <w:r>
        <w:t xml:space="preserve"> принимает безналичную оплату без регистрации и без терминала, видит итог дня; комиссия 1 % меньше, чем потерянные покупатели </w:t>
      </w:r>
      <w:r>
        <w:rPr>
          <w:highlight w:val="yellow"/>
        </w:rPr>
        <w:t>[подтвердить в интервью]</w:t>
      </w:r>
      <w:r>
        <w:t>.</w:t>
      </w:r>
    </w:p>
    <w:p>
      <w:pPr>
        <w:pStyle w:val="ListBullet"/>
        <w:spacing w:after="40"/>
      </w:pPr>
      <w:r>
        <w:rPr>
          <w:b/>
        </w:rPr>
        <w:t>Партнёру:</w:t>
      </w:r>
      <w:r>
        <w:t xml:space="preserve"> доход с комиссии и клиенты, которых у него сейчас нет.</w:t>
      </w:r>
    </w:p>
    <w:p>
      <w:pPr>
        <w:pStyle w:val="ListBullet"/>
        <w:spacing w:after="40"/>
      </w:pPr>
      <w:r>
        <w:rPr>
          <w:b/>
        </w:rPr>
        <w:t>Государству:</w:t>
      </w:r>
      <w:r>
        <w:t xml:space="preserve"> бесплатный регулярный ряд по сегменту, который сейчас оценивается косвенно, и путь продавцов к регистрации без принуждения.</w:t>
      </w:r>
    </w:p>
    <w:p>
      <w:pPr>
        <w:pStyle w:val="ListBullet"/>
        <w:spacing w:after="40"/>
      </w:pPr>
      <w:r>
        <w:rPr>
          <w:b/>
        </w:rPr>
        <w:t>Нам:</w:t>
      </w:r>
      <w:r>
        <w:t xml:space="preserve"> доля комиссии 0,3 п. п. и платная настройка той же открытой аналитики для других платёжных организаций.</w:t>
      </w: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B58B00"/>
              <w:bottom w:val="nil"/>
              <w:right w:val="nil"/>
            </w:tcBorders>
            <w:shd w:val="clear" w:color="auto" w:fill="FFF8E1"/>
          </w:tcPr>
          <w:p>
            <w:pPr>
              <w:spacing w:after="40"/>
            </w:pPr>
            <w:r>
              <w:rPr>
                <w:b/>
                <w:color w:val="B58B00"/>
                <w:sz w:val="19"/>
              </w:rPr>
              <w:t xml:space="preserve">ЧЕСТНОЕ ОГРАНИЧЕНИЕ.  </w:t>
            </w:r>
            <w:r>
              <w:rPr>
                <w:sz w:val="19"/>
              </w:rPr>
              <w:t>Система не даст полную карту неформальной экономики: наличные и продавцы, которые не подключились, останутся вне. Цель — регулярный ряд по подключённому сегменту и доля оборота «без регистрации» в нём. Каждая публикация указывает охват: сколько продавцов и в каких категориях.</w:t>
            </w:r>
          </w:p>
        </w:tc>
      </w:tr>
    </w:tbl>
    <w:p>
      <w:pPr>
        <w:spacing w:after="0"/>
      </w:pPr>
    </w:p>
    <w:p>
      <w:r>
        <w:rPr>
          <w:b/>
        </w:rPr>
        <w:t>Чего система не делает:</w:t>
      </w:r>
      <w:r>
        <w:t xml:space="preserve"> не скрывает платежи от партнёра и контролирующих органов; не принимает платежи без проверки клиента; не продаёт данные; не рекламируется как способ уйти от налогов или контроля.</w:t>
      </w:r>
    </w:p>
    <w:p>
      <w:pPr>
        <w:pStyle w:val="Heading1"/>
      </w:pPr>
      <w:r>
        <w:t>Риски, проверка и критерии успеха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4762"/>
        <w:gridCol w:w="2041"/>
      </w:tblGrid>
      <w:tr>
        <w:trPr>
          <w:cantSplit/>
          <w:tblHeader/>
        </w:trPr>
        <w:tc>
          <w:tcPr>
            <w:tcW w:type="dxa" w:w="2835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4762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Мера</w:t>
            </w:r>
          </w:p>
        </w:tc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Кто отвечает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Партнёр не согласен на открытый код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Открыт только наш код агрегации; партнёр публикует лишь список полей выгрузки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Наша команда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Раскрытие продавца через маленькие ячейки</w:t>
            </w:r>
          </w:p>
        </w:tc>
        <w:tc>
          <w:tcPr>
            <w:tcW w:type="dxa" w:w="476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Порог ≥ 5 и ≤ 50 %, объединение ячеек, ежеквартальная смена ключа хеша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Код агрегации, аудитор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Продавцы не подключаются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Пилот на одном рынке, 30 продавцов, стоп-критерий ниже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Наша команда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Отмывание и мошенничество</w:t>
            </w:r>
          </w:p>
        </w:tc>
        <w:tc>
          <w:tcPr>
            <w:tcW w:type="dxa" w:w="4762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Все платежи проходят проверки партнёра; лимиты кошелька физлица по правилам партнёра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Партнёр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Статистику примут за «всю теневую экономику»</w:t>
            </w:r>
          </w:p>
        </w:tc>
        <w:tc>
          <w:tcPr>
            <w:tcW w:type="dxa" w:w="4762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В каждой публикации — охват и формулировка сегмента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Наша команда</w:t>
            </w:r>
          </w:p>
        </w:tc>
      </w:tr>
    </w:tbl>
    <w:p>
      <w:pPr>
        <w:spacing w:after="40"/>
      </w:pPr>
    </w:p>
    <w:p>
      <w:r>
        <w:rPr>
          <w:b/>
        </w:rPr>
        <w:t>Критерии успеха пилота (3 месяца, один рынок):</w:t>
      </w:r>
    </w:p>
    <w:p>
      <w:pPr>
        <w:pStyle w:val="ListBullet"/>
        <w:spacing w:after="40"/>
      </w:pPr>
      <w:r>
        <w:t>подключено не менее 30 продавцов, из них не менее 20 принимают платежи каждую неделю;</w:t>
      </w:r>
    </w:p>
    <w:p>
      <w:pPr>
        <w:pStyle w:val="ListBullet"/>
        <w:spacing w:after="40"/>
      </w:pPr>
      <w:r>
        <w:t>не менее 60 % ячеек «категория × рынок × неделя» проходят порог без объединения;</w:t>
      </w:r>
    </w:p>
    <w:p>
      <w:pPr>
        <w:pStyle w:val="ListBullet"/>
        <w:spacing w:after="40"/>
      </w:pPr>
      <w:r>
        <w:t xml:space="preserve">не менее 5 продавцов зарегистрировались микропредпринимателями </w:t>
      </w:r>
      <w:r>
        <w:rPr>
          <w:highlight w:val="yellow"/>
        </w:rPr>
        <w:t>[гипотеза]</w:t>
      </w:r>
      <w:r>
        <w:t>.</w:t>
      </w:r>
    </w:p>
    <w:p>
      <w:r>
        <w:rPr>
          <w:b/>
        </w:rPr>
        <w:t>Стоп-критерий:</w:t>
      </w:r>
      <w:r>
        <w:t xml:space="preserve"> если через 6 недель активных продавцов меньше 10 — меняем вход (репетиторы, мастера на дому) или закрываем пилот.</w:t>
      </w:r>
    </w:p>
    <w:p>
      <w:pPr>
        <w:pStyle w:val="Heading1"/>
      </w:pPr>
      <w:r>
        <w:t>Приложение. Ход на вечер: 10 вымышленных платежей и найденный порог</w:t>
      </w: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2041"/>
        <w:gridCol w:w="2268"/>
        <w:gridCol w:w="2268"/>
        <w:gridCol w:w="2381"/>
      </w:tblGrid>
      <w:tr>
        <w:trPr>
          <w:cantSplit/>
          <w:tblHeader/>
        </w:trPr>
        <w:tc>
          <w:tcPr>
            <w:tcW w:type="dxa" w:w="680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04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Продавец (хеш)</w:t>
            </w:r>
          </w:p>
        </w:tc>
        <w:tc>
          <w:tcPr>
            <w:tcW w:type="dxa" w:w="226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2268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Район</w:t>
            </w:r>
          </w:p>
        </w:tc>
        <w:tc>
          <w:tcPr>
            <w:tcW w:type="dxa" w:w="2381"/>
            <w:shd w:val="clear" w:color="auto" w:fill="16365C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Сумма, драм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3 000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П2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4 500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2 000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П1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5 500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6 000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П5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3 500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Продукты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Кентрон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2 500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П7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Ремонт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Арабкир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15 000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Ремонт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Арабкир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10 000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П8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Ремонт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Арабкир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5 000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1020"/>
        <w:gridCol w:w="1361"/>
        <w:gridCol w:w="1361"/>
        <w:gridCol w:w="2041"/>
        <w:gridCol w:w="1814"/>
      </w:tblGrid>
      <w:tr>
        <w:trPr>
          <w:cantSplit/>
          <w:tblHeader/>
        </w:trPr>
        <w:tc>
          <w:tcPr>
            <w:tcW w:type="dxa" w:w="2041"/>
            <w:shd w:val="clear" w:color="auto" w:fill="4E7F35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Ячейка</w:t>
            </w:r>
          </w:p>
        </w:tc>
        <w:tc>
          <w:tcPr>
            <w:tcW w:type="dxa" w:w="1020"/>
            <w:shd w:val="clear" w:color="auto" w:fill="4E7F35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Платежей</w:t>
            </w:r>
          </w:p>
        </w:tc>
        <w:tc>
          <w:tcPr>
            <w:tcW w:type="dxa" w:w="1361"/>
            <w:shd w:val="clear" w:color="auto" w:fill="4E7F35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Разных продавцов</w:t>
            </w:r>
          </w:p>
        </w:tc>
        <w:tc>
          <w:tcPr>
            <w:tcW w:type="dxa" w:w="1361"/>
            <w:shd w:val="clear" w:color="auto" w:fill="4E7F35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Оборот</w:t>
            </w:r>
          </w:p>
        </w:tc>
        <w:tc>
          <w:tcPr>
            <w:tcW w:type="dxa" w:w="2041"/>
            <w:shd w:val="clear" w:color="auto" w:fill="4E7F35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Крупнейший продавец</w:t>
            </w:r>
          </w:p>
        </w:tc>
        <w:tc>
          <w:tcPr>
            <w:tcW w:type="dxa" w:w="1814"/>
            <w:shd w:val="clear" w:color="auto" w:fill="4E7F35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Продукты × Кентрон</w:t>
            </w:r>
          </w:p>
        </w:tc>
        <w:tc>
          <w:tcPr>
            <w:tcW w:type="dxa" w:w="1020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27 000 драм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П1: 8 500 драм = 31 %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публиковать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Ремонт × Арабкир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30 000 драм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П7: 25 000 драм = 83 %</w:t>
            </w:r>
          </w:p>
        </w:tc>
        <w:tc>
          <w:tcPr>
            <w:tcW w:type="dxa" w:w="1814"/>
            <w:shd w:val="clear" w:color="auto" w:fill="F5F7FA"/>
          </w:tcPr>
          <w:p>
            <w:pPr>
              <w:spacing w:after="20" w:line="240" w:lineRule="auto"/>
            </w:pPr>
            <w:r/>
            <w:r>
              <w:rPr>
                <w:sz w:val="17"/>
              </w:rPr>
              <w:t>не публиковать, объединить</w:t>
            </w:r>
          </w:p>
        </w:tc>
      </w:tr>
    </w:tbl>
    <w:p>
      <w:pPr>
        <w:spacing w:after="40"/>
      </w:pPr>
    </w:p>
    <w:p>
      <w:r>
        <w:rPr>
          <w:b/>
        </w:rPr>
        <w:t>Почему «3 платежа» — не защита.</w:t>
      </w:r>
      <w:r>
        <w:t xml:space="preserve"> В ячейке «Ремонт × Арабкир» три платежа, но два продавца. Продавец П8 знает свой оборот (5 000 драм), видит в публикации сумму ячейки (30 000 драм) и вычитанием узнаёт оборот П7 — 25 000 драм. Значит, считать нужно </w:t>
      </w:r>
      <w:r>
        <w:rPr>
          <w:b/>
        </w:rPr>
        <w:t>продавцов, а не платежи</w:t>
      </w:r>
      <w:r>
        <w:t>.</w:t>
      </w:r>
    </w:p>
    <w:p>
      <w:r>
        <w:rPr>
          <w:b/>
        </w:rPr>
        <w:t>Почему 3 продавца — мало.</w:t>
      </w:r>
      <w:r>
        <w:t xml:space="preserve"> Двое, сравнив свои цифры, так же вычисляют третьего. При 5 продавцах вычисление требует сговора четверых; для пилота принимаем этот риск, при росте сети порог поднимаем до 10.</w:t>
      </w:r>
    </w:p>
    <w:p>
      <w:r>
        <w:rPr>
          <w:b/>
        </w:rPr>
        <w:t>Почему нужно второе условие.</w:t>
      </w:r>
      <w:r>
        <w:t xml:space="preserve"> Если один продавец даёт больше половины оборота ячейки, сумма ячейки почти равна его обороту — цифра раскрывает его даже при 5 продавцах.</w:t>
      </w:r>
    </w:p>
    <w:tbl>
      <w:tblPr>
        <w:tblW w:type="auto" w:w="0"/>
        <w:jc w:val="center"/>
        <w:tblCellMar>
          <w:top w:w="110" w:type="dxa"/>
          <w:left w:w="100" w:type="dxa"/>
          <w:bottom w:w="110" w:type="dxa"/>
          <w:right w:w="10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sz="24" w:space="0" w:color="4E7F35"/>
              <w:bottom w:val="nil"/>
              <w:right w:val="nil"/>
            </w:tcBorders>
            <w:shd w:val="clear" w:color="auto" w:fill="E3F1DC"/>
          </w:tcPr>
          <w:p>
            <w:pPr>
              <w:spacing w:after="40"/>
            </w:pPr>
            <w:r>
              <w:rPr>
                <w:b/>
                <w:color w:val="4E7F35"/>
                <w:sz w:val="19"/>
              </w:rPr>
              <w:t xml:space="preserve">НАЙДЕННЫЙ ПОРОГ.  </w:t>
            </w:r>
            <w:r>
              <w:rPr>
                <w:sz w:val="19"/>
              </w:rPr>
              <w:t xml:space="preserve">Ячейка публикуется, если в ней </w:t>
            </w:r>
            <w:r>
              <w:rPr>
                <w:b/>
                <w:sz w:val="19"/>
              </w:rPr>
              <w:t>не меньше 5 разных продавцов</w:t>
            </w:r>
            <w:r>
              <w:rPr>
                <w:sz w:val="19"/>
              </w:rPr>
              <w:t xml:space="preserve"> и </w:t>
            </w:r>
            <w:r>
              <w:rPr>
                <w:b/>
                <w:sz w:val="19"/>
              </w:rPr>
              <w:t>ни один не даёт больше 50 % оборота</w:t>
            </w:r>
            <w:r>
              <w:rPr>
                <w:sz w:val="19"/>
              </w:rPr>
              <w:t>; иначе ячейка объединяется с соседней.</w:t>
            </w:r>
          </w:p>
        </w:tc>
      </w:tr>
    </w:tbl>
    <w:p>
      <w:pPr>
        <w:spacing w:after="0"/>
      </w:pPr>
    </w:p>
    <w:p>
      <w:pPr>
        <w:pStyle w:val="Heading1"/>
      </w:pPr>
      <w:r>
        <w:t>Что автор вписывает сам</w:t>
      </w:r>
    </w:p>
    <w:p>
      <w:pPr>
        <w:pStyle w:val="ListBullet"/>
        <w:spacing w:after="40"/>
      </w:pPr>
      <w:r>
        <w:t>результаты интервью с 5 продавцами (дословно);</w:t>
      </w:r>
    </w:p>
    <w:p>
      <w:pPr>
        <w:pStyle w:val="ListBullet"/>
        <w:spacing w:after="40"/>
      </w:pPr>
      <w:r>
        <w:t>название партнёра, его тарифы и состав проверки клиента;</w:t>
      </w:r>
    </w:p>
    <w:p>
      <w:pPr>
        <w:pStyle w:val="ListBullet"/>
        <w:spacing w:after="40"/>
      </w:pPr>
      <w:r>
        <w:t>поддерживает ли партнёр QR-переводы из других банков;</w:t>
      </w:r>
    </w:p>
    <w:p>
      <w:pPr>
        <w:pStyle w:val="ListBullet"/>
        <w:spacing w:after="40"/>
      </w:pPr>
      <w:r>
        <w:t>заключение юриста об основании передачи обезличенных данных.</w:t>
      </w:r>
    </w:p>
    <w:p>
      <w:pPr>
        <w:pStyle w:val="Heading2"/>
      </w:pPr>
      <w:r>
        <w:t>Источники</w:t>
      </w:r>
    </w:p>
    <w:p>
      <w:pPr>
        <w:pStyle w:val="ListBullet"/>
        <w:spacing w:after="20"/>
      </w:pPr>
      <w:r>
        <w:rPr>
          <w:sz w:val="17"/>
        </w:rPr>
        <w:t xml:space="preserve">Armstat, индикатор ЦУР 8.3.1 (доля неформальной занятости) — </w:t>
      </w:r>
      <w:r>
        <w:rPr>
          <w:color w:val="2F5D8C"/>
          <w:sz w:val="17"/>
        </w:rPr>
        <w:t>https://sdg.armstat.am/8-3-1/</w:t>
      </w:r>
    </w:p>
    <w:p>
      <w:pPr>
        <w:pStyle w:val="ListBullet"/>
        <w:spacing w:after="20"/>
      </w:pPr>
      <w:r>
        <w:rPr>
          <w:sz w:val="17"/>
        </w:rPr>
        <w:t xml:space="preserve">ARKA: оценка неформальной экономики 2,5–4 млрд долл. (18.05.2018) — </w:t>
      </w:r>
      <w:r>
        <w:rPr>
          <w:color w:val="2F5D8C"/>
          <w:sz w:val="17"/>
        </w:rPr>
        <w:t>https://www.arka.am/en/news/economy/armenia_s_informal_economy_estimated_at_2_5_4_billion</w:t>
      </w:r>
    </w:p>
    <w:p>
      <w:pPr>
        <w:pStyle w:val="ListBullet"/>
        <w:spacing w:after="20"/>
      </w:pPr>
      <w:r>
        <w:rPr>
          <w:sz w:val="17"/>
        </w:rPr>
        <w:t xml:space="preserve">ARKA: МВФ оценил неформальную экономику Армении в 36 % ВВП (07.02.2018) — </w:t>
      </w:r>
      <w:r>
        <w:rPr>
          <w:color w:val="2F5D8C"/>
          <w:sz w:val="17"/>
        </w:rPr>
        <w:t>https://arka.am/en/news/economy/imf_estimates_armenia_s_informal_economy_at_36_of_gdp</w:t>
      </w:r>
    </w:p>
    <w:p>
      <w:pPr>
        <w:pStyle w:val="ListBullet"/>
        <w:spacing w:after="20"/>
      </w:pPr>
      <w:r>
        <w:rPr>
          <w:sz w:val="17"/>
        </w:rPr>
        <w:t xml:space="preserve">Коммерсантъ: данные СберИндекса о потребительских расходах (12.11.2025) — </w:t>
      </w:r>
      <w:r>
        <w:rPr>
          <w:color w:val="2F5D8C"/>
          <w:sz w:val="17"/>
        </w:rPr>
        <w:t>https://www.kommersant.ru/doc/8194524</w:t>
      </w:r>
    </w:p>
    <w:p>
      <w:pPr>
        <w:pStyle w:val="ListBullet"/>
        <w:spacing w:after="20"/>
      </w:pPr>
      <w:r>
        <w:rPr>
          <w:sz w:val="17"/>
        </w:rPr>
        <w:t xml:space="preserve">Эксперт: ФНС о самозанятых в 2025 г. (13.01.2026) — </w:t>
      </w:r>
      <w:r>
        <w:rPr>
          <w:color w:val="2F5D8C"/>
          <w:sz w:val="17"/>
        </w:rPr>
        <w:t>https://expert.ru/news/fns-v-2025-godu-samozanyatye-zarabotali-svyshe-3-trln-rubley/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sz w:val="21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 w:cs="Arial"/>
      <w:b/>
      <w:bCs/>
      <w:color w:val="1636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Arial" w:cs="Arial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eastAsia="Arial" w:cs="Arial"/>
      <w:b/>
      <w:bCs/>
      <w:color w:val="1636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Микаелян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