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sz w:val="26"/>
        </w:rPr>
        <w:t>Пятая карточка. Заготовка и три идеи на выбор</w:t>
      </w:r>
    </w:p>
    <w:p>
      <w:pPr>
        <w:jc w:val="left"/>
      </w:pPr>
      <w:r>
        <w:rPr>
          <w:color w:val="404040"/>
          <w:sz w:val="19"/>
        </w:rPr>
        <w:t>Ответ на разбор 3-028 от 12 октября</w:t>
      </w:r>
    </w:p>
    <w:p>
      <w:r>
        <w:t>Вместо пятой карточки я тогда сдал комментарий, и его, конечно, оценить нельзя, потому что в нем нет идеи. Чтобы карточка получила оценку, достаточно поднять механику с нуля хотя бы до двух, то есть назвать результат и хотя бы один способ его получить. Ниже три идеи из платежной сферы. Каждую я записал так, как просил научный руководитель, в три предложения о том, чья это проблема, что я предлагаю и кто платит. Все три держатся на платеже, поэтому в область системы они попадают. Какую развивать дальше, я еще выберу.</w:t>
      </w:r>
    </w:p>
    <w:p>
      <w:pPr>
        <w:pStyle w:val="Heading1"/>
      </w:pPr>
      <w:r>
        <w:t>Три идеи</w:t>
      </w:r>
    </w:p>
    <w:tbl>
      <w:tblPr>
        <w:tblStyle w:val="TableGrid"/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1543"/>
        <w:gridCol w:w="2018"/>
        <w:gridCol w:w="2612"/>
        <w:gridCol w:w="1900"/>
        <w:gridCol w:w="2018"/>
      </w:tblGrid>
      <w:tr>
        <w:trPr>
          <w:cantSplit/>
          <w:tblHeader/>
        </w:trPr>
        <w:tc>
          <w:tcPr>
            <w:tcW w:type="dxa" w:w="1543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6"/>
              </w:rPr>
              <w:t>Идея</w:t>
            </w:r>
          </w:p>
        </w:tc>
        <w:tc>
          <w:tcPr>
            <w:tcW w:type="dxa" w:w="2018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6"/>
              </w:rPr>
              <w:t>Чья проблема</w:t>
            </w:r>
          </w:p>
        </w:tc>
        <w:tc>
          <w:tcPr>
            <w:tcW w:type="dxa" w:w="2612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6"/>
              </w:rPr>
              <w:t>Что предлагаю</w:t>
            </w:r>
          </w:p>
        </w:tc>
        <w:tc>
          <w:tcPr>
            <w:tcW w:type="dxa" w:w="1900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6"/>
              </w:rPr>
              <w:t>Кто платит</w:t>
            </w:r>
          </w:p>
        </w:tc>
        <w:tc>
          <w:tcPr>
            <w:tcW w:type="dxa" w:w="2018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6"/>
              </w:rPr>
              <w:t>Плюсы и минусы</w:t>
            </w:r>
          </w:p>
        </w:tc>
      </w:tr>
      <w:tr>
        <w:trPr>
          <w:cantSplit/>
        </w:trPr>
        <w:tc>
          <w:tcPr>
            <w:tcW w:type="dxa" w:w="1543"/>
          </w:tcPr>
          <w:p>
            <w:pPr>
              <w:spacing w:after="20" w:line="240" w:lineRule="auto"/>
              <w:jc w:val="left"/>
            </w:pPr>
            <w:r/>
            <w:r>
              <w:rPr>
                <w:sz w:val="16"/>
              </w:rPr>
              <w:t>А. Стоп-подписки</w:t>
            </w:r>
          </w:p>
        </w:tc>
        <w:tc>
          <w:tcPr>
            <w:tcW w:type="dxa" w:w="2018"/>
          </w:tcPr>
          <w:p>
            <w:pPr>
              <w:spacing w:after="20" w:line="240" w:lineRule="auto"/>
              <w:jc w:val="left"/>
            </w:pPr>
            <w:r/>
            <w:r>
              <w:rPr>
                <w:sz w:val="16"/>
              </w:rPr>
              <w:t>Человек платит за забытые подписки и пробные периоды, которые сами стали платными, и деньги списываются с карты каждый месяц</w:t>
            </w:r>
          </w:p>
        </w:tc>
        <w:tc>
          <w:tcPr>
            <w:tcW w:type="dxa" w:w="2612"/>
          </w:tcPr>
          <w:p>
            <w:pPr>
              <w:spacing w:after="20" w:line="240" w:lineRule="auto"/>
              <w:jc w:val="left"/>
            </w:pPr>
            <w:r/>
            <w:r>
              <w:rPr>
                <w:sz w:val="16"/>
              </w:rPr>
              <w:t>Сервис находит повторяющиеся списания в выписке, предупреждает за 3 дня до списания и одной кнопкой запрещает списания этого продавца по карте</w:t>
            </w:r>
          </w:p>
        </w:tc>
        <w:tc>
          <w:tcPr>
            <w:tcW w:type="dxa" w:w="1900"/>
          </w:tcPr>
          <w:p>
            <w:pPr>
              <w:spacing w:after="20" w:line="240" w:lineRule="auto"/>
              <w:jc w:val="left"/>
            </w:pPr>
            <w:r/>
            <w:r>
              <w:rPr>
                <w:sz w:val="16"/>
              </w:rPr>
              <w:t xml:space="preserve">Банк-партнер, как функция в его приложении, потому что становится меньше жалоб и споров по списаниям. Или сам человек, 500 драм в месяц </w:t>
            </w:r>
            <w:r>
              <w:rPr>
                <w:sz w:val="16"/>
                <w:highlight w:val="yellow"/>
              </w:rPr>
              <w:t>[гипотеза]</w:t>
            </w:r>
          </w:p>
        </w:tc>
        <w:tc>
          <w:tcPr>
            <w:tcW w:type="dxa" w:w="2018"/>
          </w:tcPr>
          <w:p>
            <w:pPr>
              <w:spacing w:after="20" w:line="240" w:lineRule="auto"/>
              <w:jc w:val="left"/>
            </w:pPr>
            <w:r/>
            <w:r>
              <w:rPr>
                <w:sz w:val="16"/>
              </w:rPr>
              <w:t xml:space="preserve">Такой случай был почти у каждого, доказательства собрать легко. Минус в том, что нужна функция запрета у банка </w:t>
            </w:r>
            <w:r>
              <w:rPr>
                <w:sz w:val="16"/>
                <w:highlight w:val="yellow"/>
              </w:rPr>
              <w:t>[проверить]</w:t>
            </w:r>
          </w:p>
        </w:tc>
      </w:tr>
      <w:tr>
        <w:trPr>
          <w:cantSplit/>
        </w:trPr>
        <w:tc>
          <w:tcPr>
            <w:tcW w:type="dxa" w:w="1543"/>
          </w:tcPr>
          <w:p>
            <w:pPr>
              <w:spacing w:after="20" w:line="240" w:lineRule="auto"/>
              <w:jc w:val="left"/>
            </w:pPr>
            <w:r/>
            <w:r>
              <w:rPr>
                <w:sz w:val="16"/>
              </w:rPr>
              <w:t>Б. Проверка получателя</w:t>
            </w:r>
          </w:p>
        </w:tc>
        <w:tc>
          <w:tcPr>
            <w:tcW w:type="dxa" w:w="2018"/>
          </w:tcPr>
          <w:p>
            <w:pPr>
              <w:spacing w:after="20" w:line="240" w:lineRule="auto"/>
              <w:jc w:val="left"/>
            </w:pPr>
            <w:r/>
            <w:r>
              <w:rPr>
                <w:sz w:val="16"/>
              </w:rPr>
              <w:t>Перевод по номеру телефона или карты уходит не тому человеку из-за опечатки или обмана, и вернуть деньги трудно</w:t>
            </w:r>
          </w:p>
        </w:tc>
        <w:tc>
          <w:tcPr>
            <w:tcW w:type="dxa" w:w="2612"/>
          </w:tcPr>
          <w:p>
            <w:pPr>
              <w:spacing w:after="20" w:line="240" w:lineRule="auto"/>
              <w:jc w:val="left"/>
            </w:pPr>
            <w:r/>
            <w:r>
              <w:rPr>
                <w:sz w:val="16"/>
              </w:rPr>
              <w:t>Перед переводом показывать скрытое частично имя получателя и предупреждать, если оно не совпадает, как работает Confirmation of Payee в Великобритании</w:t>
            </w:r>
          </w:p>
        </w:tc>
        <w:tc>
          <w:tcPr>
            <w:tcW w:type="dxa" w:w="1900"/>
          </w:tcPr>
          <w:p>
            <w:pPr>
              <w:spacing w:after="20" w:line="240" w:lineRule="auto"/>
              <w:jc w:val="left"/>
            </w:pPr>
            <w:r/>
            <w:r>
              <w:rPr>
                <w:sz w:val="16"/>
              </w:rPr>
              <w:t>Банки, которые подключаются к общему справочнику</w:t>
            </w:r>
          </w:p>
        </w:tc>
        <w:tc>
          <w:tcPr>
            <w:tcW w:type="dxa" w:w="2018"/>
          </w:tcPr>
          <w:p>
            <w:pPr>
              <w:spacing w:after="20" w:line="240" w:lineRule="auto"/>
              <w:jc w:val="left"/>
            </w:pPr>
            <w:r/>
            <w:r>
              <w:rPr>
                <w:sz w:val="16"/>
              </w:rPr>
              <w:t xml:space="preserve">Боль сильная. Но если армянские банки уже показывают имя получателя, идея отпадает </w:t>
            </w:r>
            <w:r>
              <w:rPr>
                <w:sz w:val="16"/>
                <w:highlight w:val="yellow"/>
              </w:rPr>
              <w:t>[проверить]</w:t>
            </w:r>
          </w:p>
        </w:tc>
      </w:tr>
      <w:tr>
        <w:trPr>
          <w:cantSplit/>
        </w:trPr>
        <w:tc>
          <w:tcPr>
            <w:tcW w:type="dxa" w:w="1543"/>
          </w:tcPr>
          <w:p>
            <w:pPr>
              <w:spacing w:after="20" w:line="240" w:lineRule="auto"/>
              <w:jc w:val="left"/>
            </w:pPr>
            <w:r/>
            <w:r>
              <w:rPr>
                <w:sz w:val="16"/>
              </w:rPr>
              <w:t>В. Чаевые по QR</w:t>
            </w:r>
          </w:p>
        </w:tc>
        <w:tc>
          <w:tcPr>
            <w:tcW w:type="dxa" w:w="2018"/>
          </w:tcPr>
          <w:p>
            <w:pPr>
              <w:spacing w:after="20" w:line="240" w:lineRule="auto"/>
              <w:jc w:val="left"/>
            </w:pPr>
            <w:r/>
            <w:r>
              <w:rPr>
                <w:sz w:val="16"/>
              </w:rPr>
              <w:t>Официанты, курьеры и мастера теряют чаевые, потому что у людей нет наличных</w:t>
            </w:r>
          </w:p>
        </w:tc>
        <w:tc>
          <w:tcPr>
            <w:tcW w:type="dxa" w:w="2612"/>
          </w:tcPr>
          <w:p>
            <w:pPr>
              <w:spacing w:after="20" w:line="240" w:lineRule="auto"/>
              <w:jc w:val="left"/>
            </w:pPr>
            <w:r/>
            <w:r>
              <w:rPr>
                <w:sz w:val="16"/>
              </w:rPr>
              <w:t>Личный QR код на бейдже, оплата из любого банковского приложения, деньги сразу на карту</w:t>
            </w:r>
          </w:p>
        </w:tc>
        <w:tc>
          <w:tcPr>
            <w:tcW w:type="dxa" w:w="1900"/>
          </w:tcPr>
          <w:p>
            <w:pPr>
              <w:spacing w:after="20" w:line="240" w:lineRule="auto"/>
              <w:jc w:val="left"/>
            </w:pPr>
            <w:r/>
            <w:r>
              <w:rPr>
                <w:sz w:val="16"/>
              </w:rPr>
              <w:t>Комиссия с чаевых, ее платит получатель или заведение</w:t>
            </w:r>
          </w:p>
        </w:tc>
        <w:tc>
          <w:tcPr>
            <w:tcW w:type="dxa" w:w="2018"/>
          </w:tcPr>
          <w:p>
            <w:pPr>
              <w:spacing w:after="20" w:line="240" w:lineRule="auto"/>
              <w:jc w:val="left"/>
            </w:pPr>
            <w:r/>
            <w:r>
              <w:rPr>
                <w:sz w:val="16"/>
              </w:rPr>
              <w:t>Просто объяснить. Минус в том, что в России такие сервисы давно есть и отличие придется искать</w:t>
            </w:r>
          </w:p>
        </w:tc>
      </w:tr>
    </w:tbl>
    <w:p>
      <w:pPr>
        <w:spacing w:after="40"/>
      </w:pPr>
    </w:p>
    <w:p>
      <w:r>
        <w:t>Сейчас мне больше всего нравится идея А, потому что проблема понятна всем и реальный случай найти проще всего. Дальше заготовка именно для нее.</w:t>
      </w:r>
    </w:p>
    <w:p>
      <w:pPr>
        <w:pStyle w:val="Heading1"/>
      </w:pPr>
      <w:r>
        <w:t>Идея А. Стоп-подписки</w:t>
      </w:r>
    </w:p>
    <w:p>
      <w:r>
        <w:t>В трех предложениях. Проблема у человека с банковской картой, который подписан на сервисы и пробные периоды, забывает о них и каждый месяц платит впустую. Я предлагаю сервис, который находит в выписке повторяющиеся списания, показывает их список с суммой за год, предупреждает за три дня до списания и одной кнопкой включает запрет списаний этого продавца по карте. Платит банк-партнер, который встраивает это в свое приложение, потому что так становится меньше жалоб и споров, а для клиента это бесплатно.</w:t>
      </w:r>
    </w:p>
    <w:p>
      <w:r>
        <w:t xml:space="preserve">Ответы на вопросы проверяющего. Идея решает проблему контроля автосписаний, когда человек теряет деньги на подписках, о которых забыл. Главный участник это держатель карты, он возвращает деньги, которые уходили зря. Второй участник это банк, у него меньше спорных списаний и обращений. По шагам все выглядит так. Берем выписку, ищем повторы, собираем список подписок, за три дня до списания присылаем предупреждение, человек решает, и дальше либо запрет списаний, либо списание проходит. Для этого нужен доступ к операциям по карте в приложении банка-партнера и функция запрета списаний конкретного продавца </w:t>
      </w:r>
      <w:r>
        <w:rPr>
          <w:highlight w:val="yellow"/>
        </w:rPr>
        <w:t>[проверить у банка]</w:t>
      </w:r>
      <w:r>
        <w:t>. Если такой функции нет, можно сделать отдельную виртуальную карту под каждую подписку и просто замораживать ее.</w:t>
      </w:r>
    </w:p>
    <w:p>
      <w:pPr>
        <w:keepNext/>
        <w:spacing w:before="120" w:after="0"/>
        <w:jc w:val="left"/>
      </w:pPr>
      <w:r>
        <w:rPr>
          <w:i/>
          <w:sz w:val="19"/>
        </w:rPr>
        <w:t>Схема 1. Как работает идея А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980000"/>
            <wp:effectExtent l="0" t="0" r="0" b="0"/>
            <wp:docPr id="118" name="Группа 118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980000"/>
                      <a:chOff x="0" y="0"/>
                      <a:chExt cx="6120000" cy="1980000"/>
                    </a:xfrm>
                  </wpg:grpSpPr>
                  <wps:wsp>
                    <wps:cNvPr id="101" name="Прямоугольник: скругленные углы 101"/>
                    <wps:cNvSpPr/>
                    <wps:spPr>
                      <a:xfrm>
                        <a:off x="0" y="108000"/>
                        <a:ext cx="1080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Выписка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операции по карте за 12 месяцев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2" name="Прямоугольник: скругленные углы 102"/>
                    <wps:cNvSpPr/>
                    <wps:spPr>
                      <a:xfrm>
                        <a:off x="1260000" y="108000"/>
                        <a:ext cx="1080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4"/>
                              <w:szCs w:val="14"/>
                            </w:rPr>
                            <w:t xml:space="preserve">Поиск повторов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тот же продавец, похожая сумма, раз в неделю, месяц или год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3" name="Прямоугольник: скругленные углы 103"/>
                    <wps:cNvSpPr/>
                    <wps:spPr>
                      <a:xfrm>
                        <a:off x="2520000" y="108000"/>
                        <a:ext cx="1080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7F0E3"/>
                      </a:solidFill>
                      <a:ln w="12700">
                        <a:solidFill>
                          <a:srgbClr val="1E8449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B4A2B"/>
                              <w:sz w:val="15"/>
                              <w:szCs w:val="15"/>
                            </w:rPr>
                            <w:t xml:space="preserve">Список подписок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5"/>
                              <w:szCs w:val="15"/>
                            </w:rPr>
                            <w:t xml:space="preserve">сколько в месяц и за год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4" name="Прямоугольник: скругленные углы 104"/>
                    <wps:cNvSpPr/>
                    <wps:spPr>
                      <a:xfrm>
                        <a:off x="3780000" y="108000"/>
                        <a:ext cx="1080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11827"/>
                              <w:sz w:val="15"/>
                              <w:szCs w:val="15"/>
                            </w:rPr>
                            <w:t xml:space="preserve">За 3 дня до списания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уведомление с суммой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5" name="Ромб 105"/>
                    <wps:cNvSpPr/>
                    <wps:spPr>
                      <a:xfrm>
                        <a:off x="5040000" y="36000"/>
                        <a:ext cx="1080000" cy="792000"/>
                      </a:xfrm>
                      <a:prstGeom prst="diamond">
                        <a:avLst/>
                      </a:prstGeom>
                      <a:solidFill>
                        <a:srgbClr val="FFF4CC"/>
                      </a:solidFill>
                      <a:ln w="12700">
                        <a:solidFill>
                          <a:srgbClr val="B58B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4D3A00"/>
                              <w:sz w:val="15"/>
                              <w:szCs w:val="15"/>
                            </w:rPr>
                            <w:t xml:space="preserve">Оставить подписку?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06" name="Прямая со стрелкой 106"/>
                    <wps:cNvCnPr/>
                    <wps:spPr>
                      <a:xfrm>
                        <a:off x="1080000" y="432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7" name="Прямая со стрелкой 107"/>
                    <wps:cNvCnPr/>
                    <wps:spPr>
                      <a:xfrm>
                        <a:off x="2340000" y="432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8" name="Прямая со стрелкой 108"/>
                    <wps:cNvCnPr/>
                    <wps:spPr>
                      <a:xfrm>
                        <a:off x="3600000" y="432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9" name="Прямая со стрелкой 109"/>
                    <wps:cNvCnPr/>
                    <wps:spPr>
                      <a:xfrm>
                        <a:off x="4860000" y="432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0" name="Прямоугольник: скругленные углы 110"/>
                    <wps:cNvSpPr/>
                    <wps:spPr>
                      <a:xfrm>
                        <a:off x="5112000" y="1224000"/>
                        <a:ext cx="972000" cy="50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F3F4F6"/>
                      </a:solidFill>
                      <a:ln w="12700">
                        <a:solidFill>
                          <a:srgbClr val="6B728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11827"/>
                              <w:sz w:val="15"/>
                              <w:szCs w:val="15"/>
                            </w:rPr>
                            <w:t xml:space="preserve">Списание проходит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11" name="Прямоугольник: скругленные углы 111"/>
                    <wps:cNvSpPr/>
                    <wps:spPr>
                      <a:xfrm>
                        <a:off x="2664000" y="1224000"/>
                        <a:ext cx="2088000" cy="504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3F1DC"/>
                      </a:solidFill>
                      <a:ln w="12700">
                        <a:solidFill>
                          <a:srgbClr val="4E7F35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34411"/>
                              <w:sz w:val="14"/>
                              <w:szCs w:val="14"/>
                            </w:rPr>
                            <w:t xml:space="preserve">Запрет списаний этого продавца по карте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через банк или заморозка виртуальной карты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12" name="Прямая со стрелкой 112"/>
                    <wps:cNvCnPr/>
                    <wps:spPr>
                      <a:xfrm>
                        <a:off x="5580000" y="828000"/>
                        <a:ext cx="18000" cy="396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E844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3" name="Надпись 113"/>
                    <wps:cNvSpPr txBox="1"/>
                    <wps:spPr>
                      <a:xfrm>
                        <a:off x="5598000" y="936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0B4A2B"/>
                              <w:sz w:val="14"/>
                              <w:szCs w:val="14"/>
                            </w:rPr>
                            <w:t xml:space="preserve">да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4" name="Прямая соединительная линия 114"/>
                    <wps:cNvCnPr/>
                    <wps:spPr>
                      <a:xfrm flipH="1">
                        <a:off x="3708000" y="1062000"/>
                        <a:ext cx="187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</a:ln>
                    </wps:spPr>
                    <wps:bodyPr/>
                  </wps:wsp>
                  <wps:wsp>
                    <wps:cNvPr id="115" name="Прямая со стрелкой 115"/>
                    <wps:cNvCnPr/>
                    <wps:spPr>
                      <a:xfrm>
                        <a:off x="3708000" y="1062000"/>
                        <a:ext cx="0" cy="16200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B03A2E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6" name="Надпись 116"/>
                    <wps:cNvSpPr txBox="1"/>
                    <wps:spPr>
                      <a:xfrm>
                        <a:off x="4536000" y="972000"/>
                        <a:ext cx="21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8B1E14"/>
                              <w:sz w:val="14"/>
                              <w:szCs w:val="14"/>
                            </w:rPr>
                            <w:t xml:space="preserve">нет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17" name="Надпись 117"/>
                    <wps:cNvSpPr txBox="1"/>
                    <wps:spPr>
                      <a:xfrm>
                        <a:off x="0" y="1296000"/>
                        <a:ext cx="2520000" cy="3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left"/>
                          </w:pPr>
                          <w:r>
                            <w:rPr>
                              <w:rFonts w:ascii="Arial" w:hAnsi="Arial" w:cs="Arial"/>
                              <w:i/>
                              <w:color w:val="0B4A2B"/>
                              <w:sz w:val="15"/>
                              <w:szCs w:val="15"/>
                            </w:rPr>
                            <w:t xml:space="preserve">Человек видит, сколько уходит на подписки за год, и лишнее отключает одной кнопкой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keepNext/>
        <w:spacing w:before="120" w:after="0"/>
        <w:jc w:val="left"/>
      </w:pPr>
      <w:r>
        <w:rPr>
          <w:i/>
          <w:sz w:val="19"/>
        </w:rPr>
        <w:t>Схема 2. Кто что получает и кто платит</w:t>
      </w:r>
    </w:p>
    <w:p xmlns:a="http://schemas.openxmlformats.org/drawingml/2006/main">
      <w:pPr>
        <w:spacing w:before="120" w:after="60"/>
        <w:jc w:val="center"/>
      </w:pPr>
      <w:r>
        <w:drawing>
          <wp:inline distT="0" distB="0" distL="0" distR="0">
            <wp:extent cx="6120000" cy="1152000"/>
            <wp:effectExtent l="0" t="0" r="0" b="0"/>
            <wp:docPr id="130" name="Группа 130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00" cy="1152000"/>
                      <a:chOff x="0" y="0"/>
                      <a:chExt cx="6120000" cy="1152000"/>
                    </a:xfrm>
                  </wpg:grpSpPr>
                  <wps:wsp>
                    <wps:cNvPr id="119" name="Прямоугольник: скругленные углы 119"/>
                    <wps:cNvSpPr/>
                    <wps:spPr>
                      <a:xfrm>
                        <a:off x="36000" y="216000"/>
                        <a:ext cx="1368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Держатель карты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бесплатно, возвращает свои деньги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0" name="Прямоугольник: скругленные углы 120"/>
                    <wps:cNvSpPr/>
                    <wps:spPr>
                      <a:xfrm>
                        <a:off x="2376000" y="216000"/>
                        <a:ext cx="1368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DCE9F7"/>
                      </a:solidFill>
                      <a:ln w="12700">
                        <a:solidFill>
                          <a:srgbClr val="2F5D8C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16365C"/>
                              <w:sz w:val="15"/>
                              <w:szCs w:val="15"/>
                            </w:rPr>
                            <w:t xml:space="preserve">Банк-партнер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6365C"/>
                              <w:sz w:val="15"/>
                              <w:szCs w:val="15"/>
                            </w:rPr>
                            <w:t xml:space="preserve">встраивает функцию в приложение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1" name="Прямоугольник: скругленные углы 121"/>
                    <wps:cNvSpPr/>
                    <wps:spPr>
                      <a:xfrm>
                        <a:off x="4716000" y="216000"/>
                        <a:ext cx="1368000" cy="648000"/>
                      </a:xfrm>
                      <a:prstGeom prst="roundRect">
                        <a:avLst>
                          <a:gd name="adj" fmla="val 12000"/>
                        </a:avLst>
                      </a:prstGeom>
                      <a:solidFill>
                        <a:srgbClr val="ECE6F6"/>
                      </a:solidFill>
                      <a:ln w="12700">
                        <a:solidFill>
                          <a:srgbClr val="6A4FA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36245F"/>
                              <w:sz w:val="15"/>
                              <w:szCs w:val="15"/>
                            </w:rPr>
                            <w:t xml:space="preserve">Наша команда</w:t>
                          </w:r>
                        </w:p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5"/>
                              <w:szCs w:val="15"/>
                            </w:rPr>
                            <w:t xml:space="preserve">поиск повторов и интерфейс</w:t>
                          </w:r>
                        </w:p>
                      </w:txbxContent>
                    </wps:txbx>
                    <wps:bodyPr rot="0" vert="horz" wrap="square" lIns="28800" tIns="28800" rIns="28800" bIns="28800" anchor="ctr" anchorCtr="0">
                      <a:noAutofit/>
                    </wps:bodyPr>
                  </wps:wsp>
                  <wps:wsp>
                    <wps:cNvPr id="122" name="Прямая со стрелкой 122"/>
                    <wps:cNvCnPr/>
                    <wps:spPr>
                      <a:xfrm>
                        <a:off x="1404000" y="432000"/>
                        <a:ext cx="97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B556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3" name="Надпись 123"/>
                    <wps:cNvSpPr txBox="1"/>
                    <wps:spPr>
                      <a:xfrm>
                        <a:off x="1440000" y="342000"/>
                        <a:ext cx="900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1F2937"/>
                              <w:sz w:val="14"/>
                              <w:szCs w:val="14"/>
                            </w:rPr>
                            <w:t xml:space="preserve">запрет или разрешение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24" name="Прямая со стрелкой 124"/>
                    <wps:cNvCnPr/>
                    <wps:spPr>
                      <a:xfrm flipH="1">
                        <a:off x="1404000" y="684000"/>
                        <a:ext cx="97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5" name="Надпись 125"/>
                    <wps:cNvSpPr txBox="1"/>
                    <wps:spPr>
                      <a:xfrm>
                        <a:off x="1494000" y="594000"/>
                        <a:ext cx="792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список подписок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26" name="Прямая со стрелкой 126"/>
                    <wps:cNvCnPr/>
                    <wps:spPr>
                      <a:xfrm>
                        <a:off x="3744000" y="432000"/>
                        <a:ext cx="97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E7F3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7" name="Надпись 127"/>
                    <wps:cNvSpPr txBox="1"/>
                    <wps:spPr>
                      <a:xfrm>
                        <a:off x="3870000" y="342000"/>
                        <a:ext cx="720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234411"/>
                              <w:sz w:val="14"/>
                              <w:szCs w:val="14"/>
                            </w:rPr>
                            <w:t xml:space="preserve">плата в месяц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  <wps:wsp>
                    <wps:cNvPr id="128" name="Прямая со стрелкой 128"/>
                    <wps:cNvCnPr/>
                    <wps:spPr>
                      <a:xfrm flipH="1">
                        <a:off x="3744000" y="684000"/>
                        <a:ext cx="972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6A4FA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9" name="Надпись 129"/>
                    <wps:cNvSpPr txBox="1"/>
                    <wps:spPr>
                      <a:xfrm>
                        <a:off x="3762000" y="594000"/>
                        <a:ext cx="936000" cy="18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28" w:lineRule="auto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36245F"/>
                              <w:sz w:val="14"/>
                              <w:szCs w:val="14"/>
                            </w:rPr>
                            <w:t xml:space="preserve">модуль для приложения</w:t>
                          </w:r>
                        </w:p>
                      </w:txbxContent>
                    </wps:txbx>
                    <wps:bodyPr rot="0" vert="horz" wrap="square" lIns="18000" tIns="0" rIns="18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Противоречие. Продавцу подписки выгодно, чтобы человек про нее забыл. Человеку нужно помнить обо всех списаниях, но держать их все в голове он не может. Мой ход в том, что помнить должен не человек, а выписка. Повторяющиеся списания находятся сами, а решение человек принимает тогда, когда оно нужно, за три дня до списания и одной кнопкой.</w:t>
      </w:r>
    </w:p>
    <w:p>
      <w:pPr>
        <w:pStyle w:val="Heading2"/>
      </w:pPr>
      <w:r>
        <w:t>Что мне нужно сделать</w:t>
      </w:r>
    </w:p>
    <w:p>
      <w:pPr>
        <w:pStyle w:val="ListBullet"/>
        <w:spacing w:after="40"/>
      </w:pPr>
      <w:r>
        <w:t xml:space="preserve">Записать один реальный случай, дату, сумму, какой сервис списывал деньги, сколько месяцев это длилось, как заметили и удалось ли вернуть </w:t>
      </w:r>
      <w:r>
        <w:rPr>
          <w:highlight w:val="yellow"/>
        </w:rPr>
        <w:t>[вписать]</w:t>
      </w:r>
    </w:p>
    <w:p>
      <w:pPr>
        <w:pStyle w:val="ListBullet"/>
        <w:spacing w:after="40"/>
      </w:pPr>
      <w:r>
        <w:t xml:space="preserve">Узнать, есть ли у армянских банков запрет списаний конкретного продавца по карте или виртуальные карты </w:t>
      </w:r>
      <w:r>
        <w:rPr>
          <w:highlight w:val="yellow"/>
        </w:rPr>
        <w:t>[проверить]</w:t>
      </w:r>
    </w:p>
    <w:p>
      <w:pPr>
        <w:pStyle w:val="ListBullet"/>
        <w:spacing w:after="40"/>
      </w:pPr>
      <w:r>
        <w:t xml:space="preserve">Найти два сервиса, которые уже решают эту проблему, например раздел подписок в приложениях банков, и понять, чего им не хватает </w:t>
      </w:r>
      <w:r>
        <w:rPr>
          <w:highlight w:val="yellow"/>
        </w:rPr>
        <w:t>[вписать]</w:t>
      </w:r>
    </w:p>
    <w:p>
      <w:pPr>
        <w:pStyle w:val="ListBullet"/>
        <w:spacing w:after="40"/>
      </w:pPr>
      <w:r>
        <w:t xml:space="preserve">Спросить десять знакомых, сколько у них платных подписок и о скольких они вспомнили сами </w:t>
      </w:r>
      <w:r>
        <w:rPr>
          <w:highlight w:val="yellow"/>
        </w:rPr>
        <w:t>[вписать]</w:t>
      </w:r>
    </w:p>
    <w:p>
      <w:pPr>
        <w:pStyle w:val="Heading2"/>
      </w:pPr>
      <w:r>
        <w:t>План карточки по ответам</w:t>
      </w:r>
    </w:p>
    <w:tbl>
      <w:tblPr>
        <w:tblStyle w:val="TableGrid"/>
        <w:tblW w:type="auto" w:w="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493"/>
        <w:gridCol w:w="3680"/>
        <w:gridCol w:w="3918"/>
      </w:tblGrid>
      <w:tr>
        <w:trPr>
          <w:cantSplit/>
          <w:tblHeader/>
        </w:trPr>
        <w:tc>
          <w:tcPr>
            <w:tcW w:type="dxa" w:w="2493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Ответ</w:t>
            </w:r>
          </w:p>
        </w:tc>
        <w:tc>
          <w:tcPr>
            <w:tcW w:type="dxa" w:w="3680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Что писать</w:t>
            </w:r>
          </w:p>
        </w:tc>
        <w:tc>
          <w:tcPr>
            <w:tcW w:type="dxa" w:w="3918"/>
            <w:shd w:val="clear" w:color="auto" w:fill="E7E6E6"/>
          </w:tcPr>
          <w:p>
            <w:pPr>
              <w:spacing w:after="20" w:line="240" w:lineRule="auto"/>
              <w:jc w:val="left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17"/>
              </w:rPr>
              <w:t>Для идеи А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20" w:line="240" w:lineRule="auto"/>
              <w:jc w:val="left"/>
            </w:pPr>
            <w:r/>
            <w:r>
              <w:rPr>
                <w:b/>
                <w:sz w:val="17"/>
              </w:rPr>
              <w:t>1. Сфера и почему</w:t>
            </w:r>
          </w:p>
        </w:tc>
        <w:tc>
          <w:tcPr>
            <w:tcW w:type="dxa" w:w="3680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Один человек в одной ситуации и кто платит</w:t>
            </w:r>
          </w:p>
        </w:tc>
        <w:tc>
          <w:tcPr>
            <w:tcW w:type="dxa" w:w="3918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Студент с четырьмя подписками, платит банк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20" w:line="240" w:lineRule="auto"/>
              <w:jc w:val="left"/>
            </w:pPr>
            <w:r/>
            <w:r>
              <w:rPr>
                <w:b/>
                <w:sz w:val="17"/>
              </w:rPr>
              <w:t>2. О каких проблемах известно</w:t>
            </w:r>
          </w:p>
        </w:tc>
        <w:tc>
          <w:tcPr>
            <w:tcW w:type="dxa" w:w="3680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Причина как разрыв и случай с датой и суммой</w:t>
            </w:r>
          </w:p>
        </w:tc>
        <w:tc>
          <w:tcPr>
            <w:tcW w:type="dxa" w:w="3918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Продавец не напоминает, банк не предупреждает, человек не помнит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20" w:line="240" w:lineRule="auto"/>
              <w:jc w:val="left"/>
            </w:pPr>
            <w:r/>
            <w:r>
              <w:rPr>
                <w:b/>
                <w:sz w:val="17"/>
              </w:rPr>
              <w:t>3. Как решается сейчас</w:t>
            </w:r>
          </w:p>
        </w:tc>
        <w:tc>
          <w:tcPr>
            <w:tcW w:type="dxa" w:w="3680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Два аналога по названию и чего им не хватает</w:t>
            </w:r>
          </w:p>
        </w:tc>
        <w:tc>
          <w:tcPr>
            <w:tcW w:type="dxa" w:w="3918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Раздел подписок в приложениях банков, отписка вручную на сайте продавца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20" w:line="240" w:lineRule="auto"/>
              <w:jc w:val="left"/>
            </w:pPr>
            <w:r/>
            <w:r>
              <w:rPr>
                <w:b/>
                <w:sz w:val="17"/>
              </w:rPr>
              <w:t>6. Способы решения</w:t>
            </w:r>
          </w:p>
        </w:tc>
        <w:tc>
          <w:tcPr>
            <w:tcW w:type="dxa" w:w="3680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Кто что делает по шагам и куда идут деньги и данные</w:t>
            </w:r>
          </w:p>
        </w:tc>
        <w:tc>
          <w:tcPr>
            <w:tcW w:type="dxa" w:w="3918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Схема 1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20" w:line="240" w:lineRule="auto"/>
              <w:jc w:val="left"/>
            </w:pPr>
            <w:r/>
            <w:r>
              <w:rPr>
                <w:b/>
                <w:sz w:val="17"/>
              </w:rPr>
              <w:t>7. Почему это сработает</w:t>
            </w:r>
          </w:p>
        </w:tc>
        <w:tc>
          <w:tcPr>
            <w:tcW w:type="dxa" w:w="3680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Выгода каждого участника</w:t>
            </w:r>
          </w:p>
        </w:tc>
        <w:tc>
          <w:tcPr>
            <w:tcW w:type="dxa" w:w="3918"/>
          </w:tcPr>
          <w:p>
            <w:pPr>
              <w:spacing w:after="20" w:line="240" w:lineRule="auto"/>
              <w:jc w:val="left"/>
            </w:pPr>
            <w:r/>
            <w:r>
              <w:rPr>
                <w:sz w:val="17"/>
              </w:rPr>
              <w:t>Человек экономит, у банка меньше споров</w:t>
            </w:r>
          </w:p>
        </w:tc>
      </w:tr>
    </w:tbl>
    <w:p>
      <w:pPr>
        <w:spacing w:after="40"/>
      </w:pPr>
    </w:p>
    <w:sectPr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Arial" w:hAnsi="Arial" w:eastAsia="Arial" w:cs="Arial"/>
      <w:sz w:val="20"/>
      <w:lang w:val="ru-RU" w:eastAsia="ru-RU" w:bidi="ar-S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80"/>
      <w:jc w:val="left"/>
      <w:outlineLvl w:val="0"/>
    </w:pPr>
    <w:rPr>
      <w:rFonts w:ascii="Arial" w:hAnsi="Arial" w:eastAsia="Arial" w:cs="Arial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left"/>
      <w:outlineLvl w:val="1"/>
    </w:pPr>
    <w:rPr>
      <w:rFonts w:ascii="Arial" w:hAnsi="Arial" w:eastAsia="Arial" w:cs="Arial"/>
      <w:b/>
      <w:bCs/>
      <w:i w:val="0"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80"/>
      <w:jc w:val="left"/>
      <w:outlineLvl w:val="2"/>
    </w:pPr>
    <w:rPr>
      <w:rFonts w:ascii="Arial" w:hAnsi="Arial" w:eastAsia="Arial" w:cs="Arial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