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5E1B4" w14:textId="77777777"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Քաղաքացու համար միասնական ֆինանսական հարթակ</w:t>
      </w:r>
    </w:p>
    <w:p w14:paraId="1CA91F8F" w14:textId="77777777"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Միտք և կարիք</w:t>
      </w:r>
    </w:p>
    <w:p w14:paraId="1F2C6B8C" w14:textId="01D2F805"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Հայեցակարգ։ Կենտրոնական բանկի մասնակցությամբ ստեղծված միասնական անվտանգ հարթակը թույլ կտա մարդկանց կամավոր կերպով միավորել տարբեր բանկերի հաշիվները, քարտերը, ավանդները, վարկերը և այլ ֆինանսական պարտավորությունները մեկ ինտերֆեյսում։ Օգտատերերը կտեսնեն ակտիվների և պարտքերի ընդհանուր արժեքը, ծախսերի միտումները, առաջիկա վճարումները, ինչպես նաև ընթացիկ ավանդների և վարկերի պայմանների համեմատությունը։ Յուրաքանչյուր աղբյուր կարող է միացվել միայն սեփականատիրոջ համաձայնությամբ, իսկ թույլտվությունը կարող է չեղյալ հայտարարվել։ Նպատակն է օգտատերերին տրամադրել իրենց անձնական ֆինանսների վերաբերյալ հստակ պատկեր՝ առանց տասնյակ հավելվածների միջև անցնելու անհրաժեշտության։</w:t>
      </w:r>
    </w:p>
    <w:p w14:paraId="06268EFD" w14:textId="36A80D45"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Ինչո՞ւ է սա կարևոր։ Երբ ապրանքները տարածված են տարբեր բանկերում, դժվար է գնահատել ոչ միայն անհատական հաշիվը, այլև ընդհանուր ֆինանսական վիճակը՝ որքան գումար է հասանելի, որքան պարտավորություններ կան, որքան է ծախսվում վճարների վրա, և որ ավանդն է կամ վարկն է ավելի շահավետ։ Թվային վճարումներն արդեն կազմում են առօրյա տնտեսության զգալի մասը. Կենտրոնական բանկի տվյալներով՝ 2024 թվականի վերջին Հայաստանում թողարկվել է ավելի քան 4.3 միլիոն բանկային քարտ, իսկ անկանխիկ գործարքների բաժինը երկրի ներսում տեղական քարտերով կատարված գործարքների արժեքում հասել է 47.3%-ի։ Սա հիմք է ստեղծում ավելի հարմար ֆինանսական ծառայությունների համար, բայց ինքնին չի ապացուցում օգտատերերի պատրաստակամությունը տվյալներ կիսվելու հարցում. սա պետք է ստուգվի։</w:t>
      </w:r>
    </w:p>
    <w:p w14:paraId="10482B12" w14:textId="77777777"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Խնդիրներ և առկա լուծումներ</w:t>
      </w:r>
    </w:p>
    <w:p w14:paraId="3BA91CFE" w14:textId="6811E542"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Հիմնական խնդիրը։ Բանկային հավելվածները տվյալները ցուցադրում են հիմնականում իրենց սեփական բանկի ապրանքների վերաբերյալ, ուստի ընդհանուր պատկերը ստանալու համար օգտատերերը ձեռքով համեմատում են մնացորդները, վարկերը, ժամկետները և վճարները։ Անկախ աղյուսակները արագ հնանում են, և նոր վարկերի կամ ավանդների վերաբերյալ որոշումները կայացվում են առանց բյուջեի ամբողջական ամփոփման։ Լրացուցիչ խոչընդոտ է զգայուն ֆինանսական տեղեկատվությունը միասնական համակարգ փոխանցելու վստահության պակասը։</w:t>
      </w:r>
    </w:p>
    <w:p w14:paraId="61CA12BD" w14:textId="1C9FD6D0"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Ի՞նչ է հասանելի հիմա։ Բանկային հավելվածները հարմար են որոշակի բանկի ծառայությունները կառավարելու համար։ Հայկական </w:t>
      </w:r>
      <w:r xmlns:w="http://schemas.openxmlformats.org/wordprocessingml/2006/main" w:rsidRPr="00FE0891">
        <w:t xml:space="preserve">AFM հարթակն </w:t>
      </w:r>
      <w:r xmlns:w="http://schemas.openxmlformats.org/wordprocessingml/2006/main" w:rsidRPr="00FE0891">
        <w:rPr>
          <w:lang w:val="ru-RU"/>
        </w:rPr>
        <w:t xml:space="preserve">արդեն իսկ ամփոփում և համեմատում է բանկային առաջարկները ավանդների, վարկերի, քարտերի և այլ ապրանքների համար, սակայն դրա հիմնական արժեքը շուկայում առաջարկ ընտրելն է, այլ ոչ թե բոլոր միացված բանկերի ակտիվների և պարտքերի ամբողջական անձնական պատկերը տրամադրելը։ </w:t>
      </w:r>
      <w:proofErr xmlns:w="http://schemas.openxmlformats.org/wordprocessingml/2006/main" w:type="spellStart"/>
      <w:r xmlns:w="http://schemas.openxmlformats.org/wordprocessingml/2006/main" w:rsidRPr="00FE0891">
        <w:t xml:space="preserve">Idram-ը </w:t>
      </w:r>
      <w:proofErr xmlns:w="http://schemas.openxmlformats.org/wordprocessingml/2006/main" w:type="spellEnd"/>
      <w:r xmlns:w="http://schemas.openxmlformats.org/wordprocessingml/2006/main" w:rsidRPr="00FE0891">
        <w:rPr>
          <w:lang w:val="ru-RU"/>
        </w:rPr>
        <w:t xml:space="preserve">և </w:t>
      </w:r>
      <w:proofErr xmlns:w="http://schemas.openxmlformats.org/wordprocessingml/2006/main" w:type="spellStart"/>
      <w:r xmlns:w="http://schemas.openxmlformats.org/wordprocessingml/2006/main" w:rsidRPr="00FE0891">
        <w:t xml:space="preserve">IDBank-ը համատեղում են </w:t>
      </w:r>
      <w:proofErr xmlns:w="http://schemas.openxmlformats.org/wordprocessingml/2006/main" w:type="spellEnd"/>
      <w:r xmlns:w="http://schemas.openxmlformats.org/wordprocessingml/2006/main" w:rsidRPr="00FE0891">
        <w:t xml:space="preserve">Idram </w:t>
      </w:r>
      <w:proofErr xmlns:w="http://schemas.openxmlformats.org/wordprocessingml/2006/main" w:type="spellEnd"/>
      <w:r xmlns:w="http://schemas.openxmlformats.org/wordprocessingml/2006/main" w:rsidRPr="00FE0891">
        <w:rPr>
          <w:lang w:val="ru-RU"/>
        </w:rPr>
        <w:t xml:space="preserve">էլեկտրոնային դրամապանակը </w:t>
      </w:r>
      <w:proofErr xmlns:w="http://schemas.openxmlformats.org/wordprocessingml/2006/main" w:type="spellStart"/>
      <w:r xmlns:w="http://schemas.openxmlformats.org/wordprocessingml/2006/main" w:rsidRPr="00FE0891">
        <w:rPr>
          <w:lang w:val="ru-RU"/>
        </w:rPr>
        <w:t xml:space="preserve">և </w:t>
      </w:r>
      <w:proofErr xmlns:w="http://schemas.openxmlformats.org/wordprocessingml/2006/main" w:type="spellStart"/>
      <w:r xmlns:w="http://schemas.openxmlformats.org/wordprocessingml/2006/main" w:rsidRPr="00FE0891">
        <w:t xml:space="preserve">IDBank ծառայությունները </w:t>
      </w:r>
      <w:proofErr xmlns:w="http://schemas.openxmlformats.org/wordprocessingml/2006/main" w:type="spellEnd"/>
      <w:r xmlns:w="http://schemas.openxmlformats.org/wordprocessingml/2006/main" w:rsidRPr="00FE0891">
        <w:rPr>
          <w:lang w:val="ru-RU"/>
        </w:rPr>
        <w:t xml:space="preserve">, սակայն այն չի տրամադրում քաղաքացու բոլոր բանկային հաշիվների համապարփակ պատկերը։ Հետևաբար, գաղափարի առանձնահատկությունը անձնական տվյալների կամավոր ամփոփումն է և վերլուծությունները։</w:t>
      </w:r>
    </w:p>
    <w:p w14:paraId="203DCE07" w14:textId="77777777"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Նիշա։ Հարթակը պետք է լինի ոչ միայն խաղադրույքների կատալոգ, այլև չեզոք ֆինանսական վահանակ. ցուցադրի զուտ արժեքը, ամսական դրամական հոսքը, վարկի մարման պայմանները, վճարները և ապրանքների համեմատելի ամբողջական արժեքը։ Բոլոր տեղեկությունները պետք է հստակ բացատրվեն. բանկային առաջարկները և հնարավոր դուստր վճարումները պետք է հստակորեն նշվեն՝ վստահությունը պահպանելու համար։</w:t>
      </w:r>
    </w:p>
    <w:p w14:paraId="7E15B58F" w14:textId="77777777"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Լուծում և եկամտի մոդել</w:t>
      </w:r>
    </w:p>
    <w:p w14:paraId="21E3390B" w14:textId="3B00A08F"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Ինչպես է գործում ծառայությունը. օգտատերը ընտրում է բանկեր և տվյալների տեսակներ, հաստատում է իր համաձայնությունը, և համակարգը ստանում է թարմացված տեղեկատվություն հաստատված անվտանգ ինտեգրացիաների միջոցով: Գլխավոր էկրանին ցուցադրվում են ակտիվները, պարտքերը և առկա մնացորդները, ավելի ներքևում ներկայացված են ծախսերը ըստ կատեգորիայի, վճարման կանխատեսումները և անսովոր գանձումների կամ մոտեցող մարման ամսաթվերի մասին ծանուցումները: Համեմատության մոդուլը հաշվարկում է ավանդի և վարկի ժամկետները՝ օգտագործելով ստանդարտ ձևանմուշ՝ տոկոսադրույք, վճարներ, ժամկետ և այլ պարտադիր պայմաններ: Սկզբում ծառայությունը միայն կարդում է տվյալները և չի փոխանցում միջոցներ:</w:t>
      </w:r>
    </w:p>
    <w:p w14:paraId="25102BD8" w14:textId="221C743A"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Իրականացում։ Բավարար </w:t>
      </w:r>
      <w:r xmlns:w="http://schemas.openxmlformats.org/wordprocessingml/2006/main" w:rsidRPr="00FE0891">
        <w:t xml:space="preserve">MVP </w:t>
      </w:r>
      <w:r xmlns:w="http://schemas.openxmlformats.org/wordprocessingml/2006/main" w:rsidRPr="00FE0891">
        <w:rPr>
          <w:lang w:val="ru-RU"/>
        </w:rPr>
        <w:t xml:space="preserve">վեբ վահանակ՝ ցուցադրական տվյալներով, որին կհաջորդի փորձնական ծրագիր՝ երկու կամ երեք բանկերով և սահմանափակ տեղեկատվության հավաքածուով՝ մնացորդներ, վարկեր, ավանդներ և գործարքներ որոշակի ժամանակահատվածում։ Կենտրոնական բանկը կարող է սահմանել անվտանգության և չեզոքության չափանիշներ, սակայն մշակումից առաջ պետք է հաստատվի կառավարման կոնկրետ մոդելը, տվյալների փոխանակման իրավական հիմքը, օգտատիրոջ համաձայնությունը և բանկային ինտերֆեյսների տեխնիկական հասանելիությունը։ Չի կարելի նախապես ենթադրել, որ բոլոր բանկերը պարտավոր են ապահովել ինտեգրացիաներ։</w:t>
      </w:r>
    </w:p>
    <w:p w14:paraId="786ED6EE" w14:textId="38A3AC96"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Եկամուտ և կայունություն։ Քանի որ հարթակը մշակվել է որպես հանրային ֆինանսական ենթակառուցվածք, իմաստ ունի քաղաքացիների համար հիմնական գործառույթները դարձնել անվճար։ Հնարավոր ֆինանսավորման մոդելները ներառում են կառավարության կամ միջբանկային նախագիծ, բանկային անդամակցության վճարներ կամ լրացուցիչ վերլուծական գործառույթների համար թափանցիկ վճարներ։ Արտադրանքի առաջարկությունները չեն կարող գաղտնի կերպով առաջնահերթություն տալ գործընկերոջ օգտին. բոլոր առևտրային հարաբերությունները պետք է բացահայտվեն։ Քաղաքացու ֆինանսական օգուտը և տվյալների անվտանգությունն ավելի կարևոր են, քան դրամայնացումը։</w:t>
      </w:r>
    </w:p>
    <w:p w14:paraId="4F386404" w14:textId="77777777"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Ռիսկերը, ստուգումը և հաջողության չափանիշները</w:t>
      </w:r>
    </w:p>
    <w:p w14:paraId="51F5143D" w14:textId="41A5A3F0" w:rsidR="00896756" w:rsidRPr="00FE0891" w:rsidRDefault="00000000" w:rsidP="00BF0EBC">
      <w:pPr xmlns:w="http://schemas.openxmlformats.org/wordprocessingml/2006/main">
        <w:jc w:val="both"/>
        <w:rPr>
          <w:lang w:val="ru-RU"/>
        </w:rPr>
      </w:pPr>
      <w:r xmlns:w="http://schemas.openxmlformats.org/wordprocessingml/2006/main" w:rsidRPr="00FE0891">
        <w:rPr>
          <w:lang w:val="ru-RU"/>
        </w:rPr>
        <w:t xml:space="preserve">Ռիսկերը և պաշտպանությունը։ Հիմնական ռիսկերն են տվյալների արտահոսքը, խարդախ մուտքը, հնացած տեղեկատվությունը, բանկային համակարգերի անհամատեղելիությունը և շահերի բախումը ապրանքները համեմատելիս։ Պահանջվում են տվյալների հավաքագրման նվազագույնի հասցնելը, կոդավորումը, բազմագործոն նույնականացումը, համաձայնության գրանցումը, մուտքի չեղարկումը, անկախ աուդիտը և պահպանման հստակ կանոններ։ Իրավաբանական և կիբերանվտանգության մասնագետները պետք է նախապես որոշեն, թե որ տվյալները կարող են մշակվել և ով է կրում պատասխանատվությունը։</w:t>
      </w:r>
    </w:p>
    <w:sectPr w:rsidR="00896756" w:rsidRPr="00FE0891" w:rsidSect="00034616">
      <w:pgSz w:w="11906" w:h="16838"/>
      <w:pgMar w:top="792" w:right="907" w:bottom="734" w:left="907"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2B0CC" w14:textId="77777777" w:rsidR="00D42AA9" w:rsidRDefault="00D42AA9">
      <w:pPr>
        <w:spacing w:after="0" w:line="240" w:lineRule="auto"/>
      </w:pPr>
      <w:r>
        <w:separator/>
      </w:r>
    </w:p>
  </w:endnote>
  <w:endnote w:type="continuationSeparator" w:id="0">
    <w:p w14:paraId="231FB2C4" w14:textId="77777777" w:rsidR="00D42AA9" w:rsidRDefault="00D42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DFD8B" w14:textId="77777777" w:rsidR="00D42AA9" w:rsidRDefault="00D42AA9">
      <w:pPr>
        <w:spacing w:after="0" w:line="240" w:lineRule="auto"/>
      </w:pPr>
      <w:r>
        <w:separator/>
      </w:r>
    </w:p>
  </w:footnote>
  <w:footnote w:type="continuationSeparator" w:id="0">
    <w:p w14:paraId="104D5B19" w14:textId="77777777" w:rsidR="00D42AA9" w:rsidRDefault="00D42A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0229117">
    <w:abstractNumId w:val="8"/>
  </w:num>
  <w:num w:numId="2" w16cid:durableId="2057580359">
    <w:abstractNumId w:val="6"/>
  </w:num>
  <w:num w:numId="3" w16cid:durableId="1487473815">
    <w:abstractNumId w:val="5"/>
  </w:num>
  <w:num w:numId="4" w16cid:durableId="706490136">
    <w:abstractNumId w:val="4"/>
  </w:num>
  <w:num w:numId="5" w16cid:durableId="344553678">
    <w:abstractNumId w:val="7"/>
  </w:num>
  <w:num w:numId="6" w16cid:durableId="900753268">
    <w:abstractNumId w:val="3"/>
  </w:num>
  <w:num w:numId="7" w16cid:durableId="446587919">
    <w:abstractNumId w:val="2"/>
  </w:num>
  <w:num w:numId="8" w16cid:durableId="893465846">
    <w:abstractNumId w:val="1"/>
  </w:num>
  <w:num w:numId="9" w16cid:durableId="110391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78C"/>
    <w:rsid w:val="00896756"/>
    <w:rsid w:val="00AA1D8D"/>
    <w:rsid w:val="00B47730"/>
    <w:rsid w:val="00BF0EBC"/>
    <w:rsid w:val="00CB0664"/>
    <w:rsid w:val="00D42AA9"/>
    <w:rsid w:val="00FC693F"/>
    <w:rsid w:val="00FE08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14155"/>
  <w14:defaultImageDpi w14:val="300"/>
  <w15:docId w15:val="{A1E9F703-A70E-4675-8C7E-3DAC2FDDB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Arial" w:eastAsia="Arial" w:hAnsi="Arial"/>
      <w:color w:val="23272B"/>
      <w:sz w:val="20"/>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1C5379"/>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contextualSpacing/>
    </w:pPr>
    <w:rPr>
      <w:rFonts w:asciiTheme="majorHAnsi" w:eastAsiaTheme="majorEastAsia" w:hAnsiTheme="majorHAnsi" w:cstheme="majorBidi"/>
      <w:b/>
      <w:color w:val="1C4164"/>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ИИ-помощник для малого бизнеса — краткая карточка идеи</dc:title>
  <dc:subject>Сокращённая версия исходной карточки идеи</dc:subject>
  <dc:creator/>
  <cp:keywords/>
  <dc:description>generated by python-docx</dc:description>
  <cp:lastModifiedBy>Feliks Khangeldyan</cp:lastModifiedBy>
  <cp:revision>3</cp:revision>
  <dcterms:created xsi:type="dcterms:W3CDTF">2013-12-23T23:15:00Z</dcterms:created>
  <dcterms:modified xsi:type="dcterms:W3CDTF">2026-10-12T16:05:00Z</dcterms:modified>
  <cp:category/>
</cp:coreProperties>
</file>