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PADELHUB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0" w:val="single"/>
        </w:pBd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6"/>
          <w:szCs w:val="26"/>
          <w:rtl w:val="0"/>
        </w:rPr>
        <w:t xml:space="preserve">Plataforma de Gestión de Pádel Competitivo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44"/>
          <w:szCs w:val="44"/>
          <w:rtl w:val="0"/>
        </w:rPr>
        <w:t xml:space="preserve">PLAN DE PRUEBAS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4"/>
          <w:szCs w:val="24"/>
          <w:rtl w:val="0"/>
        </w:rPr>
        <w:t xml:space="preserve">QA-TEST-PLAN-001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000"/>
        <w:tblGridChange w:id="0">
          <w:tblGrid>
            <w:gridCol w:w="26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PadelHub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Plan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Mayo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Módulos cubiertos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Autenticación, Partidos, Respaldo de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Tipos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Unitarias, Integración, E2E,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Vigente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Proyecto Académico — Ingeniería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75b6" w:space="3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Este documento define el plan de pruebas para el sistema PadelHub, estableciendo los casos de prueba, criterios de éxito y estrategia de validación para los módulos de Autenticación, Gestión de Partidos y Respaldo de Base de Datos. El objetivo es garantizar la correctitud funcional, seguridad, integridad de datos y rendimiento del sistema antes de su puesta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1.2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Módulo de Autenticación: generación y verificación de JWT, gestión de refresh tokens, flujos de login/logout.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Módulo de Partidos: creación, consulta, registro de resultados y actualización de MMR.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Módulo de Respaldo: endpoint HTTP manual (/api/backup) y cron automático (02:00 AM America/Santiago).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1.3 Stack tecnológico de pruebas recomendado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5600"/>
        <w:tblGridChange w:id="0">
          <w:tblGrid>
            <w:gridCol w:w="2000"/>
            <w:gridCol w:w="26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Herramienta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Jest + ts-jest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Pruebas de funciones y lógica de negocio aisladas con mocks de Prisma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Jest + Supertest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Pruebas de API Routes con BD de test real (PostgreSQL local en Docker)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Playwright o 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Flujos completos de usuario en navegador real contra entorno de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k6 o Artillery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Simulación de carga, medición de latencia P95/P99 y detección de cuellos de botella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1.4 Criterios de aceptación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sdt>
        <w:sdtPr>
          <w:id w:val="-4059058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f1f1f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Cobertura de código ≥ 80% en pruebas unitarias para los tres módulos.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sdt>
        <w:sdtPr>
          <w:id w:val="-33559279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f1f1f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Tasa de éxito ≥ 95% en casos de integración ejecutados sobre BD de test.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Cero defectos de severidad Alta abiertos al momento del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Todas las pruebas E2E de flujos críticos ejecutadas sin errores en staging.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Tiempos de respuesta P95 dentro de los umbrales definidos por caso de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2e75b6" w:space="3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2. Resumen Ejecutivo de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La siguiente tabla consolida la cantidad de casos de prueba definidos por módulo y tipo, con un total de 36 casos diseñados para cubrir escenarios funcionales, de borde y de fallo.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520"/>
        <w:gridCol w:w="1520"/>
        <w:gridCol w:w="1520"/>
        <w:gridCol w:w="1520"/>
        <w:gridCol w:w="1520"/>
        <w:tblGridChange w:id="0">
          <w:tblGrid>
            <w:gridCol w:w="2600"/>
            <w:gridCol w:w="1520"/>
            <w:gridCol w:w="1520"/>
            <w:gridCol w:w="1520"/>
            <w:gridCol w:w="1520"/>
            <w:gridCol w:w="1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Módulo /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Autenticación (JWT / Tokens)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Gestión de Partidos (Matches)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Respaldo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Leyenda de Prioridades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sdt>
              <w:sdtPr>
                <w:id w:val="321977714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9b1c1c"/>
                    <w:sz w:val="19"/>
                    <w:szCs w:val="19"/>
                    <w:rtl w:val="0"/>
                  </w:rPr>
                  <w:t xml:space="preserve">⬛ Alta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f1f1f"/>
                <w:sz w:val="19"/>
                <w:szCs w:val="19"/>
                <w:rtl w:val="0"/>
              </w:rPr>
              <w:t xml:space="preserve">  —  Funcionalidad crítica; bloquea el release si falla.   </w:t>
            </w:r>
            <w:sdt>
              <w:sdtPr>
                <w:id w:val="1080795285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b85c00"/>
                    <w:sz w:val="19"/>
                    <w:szCs w:val="19"/>
                    <w:rtl w:val="0"/>
                  </w:rPr>
                  <w:t xml:space="preserve">⬛ Media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f1f1f"/>
                <w:sz w:val="19"/>
                <w:szCs w:val="19"/>
                <w:rtl w:val="0"/>
              </w:rPr>
              <w:t xml:space="preserve">  —  Importante; debe resolverse antes del release.   </w:t>
            </w:r>
            <w:sdt>
              <w:sdtPr>
                <w:id w:val="1059466991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1e7a3e"/>
                    <w:sz w:val="19"/>
                    <w:szCs w:val="19"/>
                    <w:rtl w:val="0"/>
                  </w:rPr>
                  <w:t xml:space="preserve">⬛ Baja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f1f1f"/>
                <w:sz w:val="19"/>
                <w:szCs w:val="19"/>
                <w:rtl w:val="0"/>
              </w:rPr>
              <w:t xml:space="preserve">  —  Mejora; puede postergarse a siguiente iteración.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bottom w:color="2e75b6" w:space="3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3. Módulo: Autenticación (JWT / Refresh Tokens)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6"/>
                <w:szCs w:val="26"/>
                <w:rtl w:val="0"/>
              </w:rPr>
              <w:t xml:space="preserve">🔐  Autenticación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   —   Seguridad de acceso, gestión de tokens JWT y ciclo de vida de sesiones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Pruebas Unitarias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Validan la lógica aislada de generación, verificación y hash de credenciales sin dependencias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1900"/>
        <w:gridCol w:w="2400"/>
        <w:gridCol w:w="1900"/>
        <w:gridCol w:w="900"/>
        <w:tblGridChange w:id="0">
          <w:tblGrid>
            <w:gridCol w:w="800"/>
            <w:gridCol w:w="2300"/>
            <w:gridCol w:w="1900"/>
            <w:gridCol w:w="24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Generación de JWT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Usuario existe en BD con credenciales 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generateToken(userId, role) con datos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Token JWT firmado con exp, iat, userId y role correctos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Rechazo de token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Token JWT con fecha exp en el pasado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verifyToken(expiredToken)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Lanza excepción TokenExpiredError; no autoriza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Rechazo de token con firma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Token JWT modificado 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verifyToken(tamperedToken)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Lanza excepción JsonWebTokenError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Hash de contraseña 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Contraseña en texto plano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hashPassword('miPass123')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Retorna hash bcrypt de 60 chars; no contiene la contraseña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Validación de refresh token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Token de refresco almacenado y vigente en tabla refresh_tokens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validateRefreshToken(token)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Retorna userId asociado; no lanza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Rechazo de refresh token revocado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Token marcado como revocado o eliminado de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validateRefreshToken(revokedToken)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Lanza excepción o retorna null; no emite nuevo 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Pruebas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Verifican el comportamiento de los endpoints de autenticación con BD de test real y middleware de seguridad 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1900"/>
        <w:gridCol w:w="2400"/>
        <w:gridCol w:w="1900"/>
        <w:gridCol w:w="900"/>
        <w:tblGridChange w:id="0">
          <w:tblGrid>
            <w:gridCol w:w="800"/>
            <w:gridCol w:w="2300"/>
            <w:gridCol w:w="1900"/>
            <w:gridCol w:w="24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Login exitoso retorna par de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Usuario registrado en BD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POST /api/auth/login con email y password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200; body con accessToken y refreshToken; refreshToken persistido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Login con credenciales incorrectas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Usuario registrado con password distinto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POST /api/auth/login con password incorrecto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401; mensaje 'Credenciales inválidas'; sin tokens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Refresco de 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refreshToken válido y vigente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POST /api/auth/refresh con refreshToken en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200; nuevo accessToken con nueva exp; refreshToken rotado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Acceso a ruta protegida con token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accessToken vigente de usuario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GET /api/matches con Authorization: Bearer &lt;token&gt;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200; datos del recurso retornados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Acceso a ruta protegida sin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Sin header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GET /api/matches sin header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401; body con mensaje 'No autorizado'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Logout invalida 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Usuario con sesión activa y refreshToken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POST /api/auth/logout con refreshToken; luego intentar refresco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200 en logout; HTTP 401 al intentar refrescar con token revocado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Pruebas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Simulan flujos completos de usuario desde el navegador, incluyendo persistencia de sesión y comportamiento tras expirar tokens.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1900"/>
        <w:gridCol w:w="2400"/>
        <w:gridCol w:w="1900"/>
        <w:gridCol w:w="900"/>
        <w:tblGridChange w:id="0">
          <w:tblGrid>
            <w:gridCol w:w="800"/>
            <w:gridCol w:w="2300"/>
            <w:gridCol w:w="1900"/>
            <w:gridCol w:w="24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Flujo completo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Usuario registrado; navegador limpio sin cookies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1.Login 2.Navegar a ruta protegida 3.Esperar expiración 4.Refrescar token 5.Acceder nuevamente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Acceso concedido en cada paso; token refrescado automáticamente sin re-login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Persistencia de sesión tras recarga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Usuario autenticado en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1.Iniciar sesión 2.Recargar página (F5) 3.Verificar estado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Usuario permanece autenticado; datos de sesión consistentes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Cierre de sesión limpia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Usuario con sesión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1.Hacer logout 2.Intentar acceder a ruta protegida 3.Intentar refrescar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Redirige al login; ambos tokens inválidos; BD sin registro del token revocado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Pruebas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Miden la capacidad del sistema de autenticación bajo carga concurrente y la eficiencia de la verificación de tokens.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1900"/>
        <w:gridCol w:w="2400"/>
        <w:gridCol w:w="1900"/>
        <w:gridCol w:w="900"/>
        <w:tblGridChange w:id="0">
          <w:tblGrid>
            <w:gridCol w:w="800"/>
            <w:gridCol w:w="2300"/>
            <w:gridCol w:w="1900"/>
            <w:gridCol w:w="24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Throughput de login concurrente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BD con 500 usuarios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Simular 100 solicitudes POST /api/auth/login concurrentes con k6 o Artillery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P95 &lt; 300ms; tasa de error &lt; 1%; sin bloqueos de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AP-02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Latencia de verificación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1000 tokens válidos generados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Ejecutar verifyToken() 1000 veces en bucle y medir 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Tiempo promedio &lt; 2ms por verificación; sin degradación acumulativa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7a3e"/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pBdr>
          <w:bottom w:color="2e75b6" w:space="3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4. Módulo: Gestión de Partidos (Matches)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6"/>
                <w:szCs w:val="26"/>
                <w:rtl w:val="0"/>
              </w:rPr>
              <w:t xml:space="preserve">🎾  Gestión de Partidos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   —   Creación, validación, resultados y actualización automática del MMR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Pruebas Unitarias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Validan las reglas de negocio de creación de partidos, validaciones de jugadores y lógica de registro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1900"/>
        <w:gridCol w:w="2400"/>
        <w:gridCol w:w="1900"/>
        <w:gridCol w:w="900"/>
        <w:tblGridChange w:id="0">
          <w:tblGrid>
            <w:gridCol w:w="800"/>
            <w:gridCol w:w="2300"/>
            <w:gridCol w:w="1900"/>
            <w:gridCol w:w="24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Creación de match con datos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Modelos Prisma disponibles; 4 userIds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createMatch({ date, court, playerIds:[4 ids]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Objeto match retornado con id, status:'PENDING', y 4 registros en match_players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Rechazo de match con menos de 4 jugadores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Solo 2 userIds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createMatch({ playerIds:[2 ids]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Lanza ValidationError: 'Se requieren exactamente 4 jugadores'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Rechazo de jugador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Lista con el mismo userId repetido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createMatch({ playerIds:[id1, id1, id2, id3]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Lanza ValidationError: 'Jugadores duplicados no permitidos'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Actualización de estado del 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Match existente con status:'PENDING'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updateMatchStatus(matchId, 'IN_PROGRESS')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Match actualizado a status:'IN_PROGRESS'; updatedAt modificado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Registro de resultado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Match con status:'IN_PROGRESS'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registerResult(matchId, { sets:[{6,3},{6,4}], winnerId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Registro en match_results; status del match pasa a 'COMPLETED'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Rechazo de resultado en match no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Match con status:'COMPLETED'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registerResult(matchId, resultado)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Lanza ConflictError: 'El partido ya tiene resultado registrado'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Pruebas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Verifican la interacción entre los endpoints de matches, la BD y el sistema de MMR a través de Prisma.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1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0"/>
        <w:gridCol w:w="2295"/>
        <w:gridCol w:w="1905"/>
        <w:gridCol w:w="2400"/>
        <w:gridCol w:w="1905"/>
        <w:gridCol w:w="900"/>
        <w:tblGridChange w:id="0">
          <w:tblGrid>
            <w:gridCol w:w="810"/>
            <w:gridCol w:w="2295"/>
            <w:gridCol w:w="1905"/>
            <w:gridCol w:w="2400"/>
            <w:gridCol w:w="1905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Creación de match via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4 usuarios autenticados; BD de test limpia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POST /api/matches con body {date, court, playerIds}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201; body con matchId; 4 filas en match_players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Listado de matches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Usuario con 3 matches asociados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GET /api/matches con token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200; array con los 3 matches; sin matches de otros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Obtener match por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Match existente accesible por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GET /api/matches/:id con token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200; objeto match con players y result anidados (include Prisma)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Intento de acceso a match ajeno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Match creado por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GET /api/matches/:id con token de usuario no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403; mensaje 'Acceso denegado'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Registro de resultado actualiza MMR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Match en status IN_PROGRESS; usuarios con MMR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POST /api/matches/:id/result con resultado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200; nuevas filas en mmr_history para los 4 jugadores; MMR 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Eliminación de match (soft 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Match en PENDING sin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DELETE /api/matches/:id con token del creador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200; match marcado como CANCELLED; registros de match_players intactos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7a3e"/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4.3 Pruebas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Cubren el ciclo de vida completo de un partido, desde la creación hasta el impacto en el ranking de los jugadores.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1900"/>
        <w:gridCol w:w="2400"/>
        <w:gridCol w:w="1900"/>
        <w:gridCol w:w="900"/>
        <w:tblGridChange w:id="0">
          <w:tblGrid>
            <w:gridCol w:w="800"/>
            <w:gridCol w:w="2300"/>
            <w:gridCol w:w="1900"/>
            <w:gridCol w:w="24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Flujo completo creación-resultado-MMR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4 usuarios registrados y autenticados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1.Crear match 2.Iniciar partido 3.Registrar resultado 4.Verificar MMR actualizado en perfil de cada jugador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MMR de ganadores sube; MMR de perdedores baja; historial visible en mmr_history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Concurrencia en registro de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Mismo match accedido por 2 clientes simultáneamente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Enviar POST /api/matches/:id/result dos veces en paralelo con resultados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Solo un resultado aceptado (HTTP 200); el segundo retorna HTTP 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Historial de partidos paginado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Usuario con 50 matches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GET /api/matches?page=1&amp;limit=10 y sucesivas páginas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Cada página retorna exactamente 10 registros; última página retorna los restantes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4.4 Pruebas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Evalúan el comportamiento del sistema ante grandes volúmenes de datos e inserciones concurrentes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1900"/>
        <w:gridCol w:w="2400"/>
        <w:gridCol w:w="1900"/>
        <w:gridCol w:w="900"/>
        <w:tblGridChange w:id="0">
          <w:tblGrid>
            <w:gridCol w:w="800"/>
            <w:gridCol w:w="2300"/>
            <w:gridCol w:w="1900"/>
            <w:gridCol w:w="24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6.93359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Carga de listado con 10.000 partidos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BD de test con 10.000 matches asociados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GET /api/matches con paginación; medir con Artillery 50 usuarios concurrentes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P95 &lt; 500ms; sin timeouts; índices de BD utilizados (EXPLAIN ANALYZE)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6.93359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MP-02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Inserción masiva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100 matches en estado 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Enviar 100 solicitudes POST /api/matches/:id/result en paralelo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P99 &lt; 1000ms; integridad referencial mantenida; sin errores de deadlock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pBdr>
          <w:bottom w:color="2e75b6" w:space="3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5. Módulo: Respaldo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6"/>
                <w:szCs w:val="26"/>
                <w:rtl w:val="0"/>
              </w:rPr>
              <w:t xml:space="preserve">🗄️  Respaldo de BD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   —   Endpoint HTTP manual, cron automático y validación del ciclo de restauración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5.1 Pruebas Unitarias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Validan las funciones de utilidad del sistema de backup: iteración de modelos, generación de metadatos y nomenclatura de archivos.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1900"/>
        <w:gridCol w:w="2400"/>
        <w:gridCol w:w="1900"/>
        <w:gridCol w:w="900"/>
        <w:tblGridChange w:id="0">
          <w:tblGrid>
            <w:gridCol w:w="800"/>
            <w:gridCol w:w="2300"/>
            <w:gridCol w:w="1900"/>
            <w:gridCol w:w="24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Iteración dinámica de modelos 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Cliente Prisma inicializado con 6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getModelNames(prismaClient)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Retorna array con exactamente ['users','matches','match_players','match_results','mmr_history','refresh_tokens']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Estructura correcta de backup_info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Llamada a buildBackupMetadata('MANUAL_HTTP_BACKUP')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Ejecutar buildBackupMetadata con tipo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Objeto con type, backup_date (ISO 8601 válido) y database_provider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Serialización JSON del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Datos de prueba con caracteres especiales y 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serializeBackup(mockData)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JSON válido; fechas serializadas como strings ISO; sin pérdida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Nombre de archivo con timestamp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Fecha mock: 2025-05-26T02:00:01.000Z en America/Santiago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Llamar generateBackupFilename('cron', mockDate)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Retorna 'cron_backup_2025-05-26_02-00-01.json' con hora local de 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5.2 Pruebas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Verifican el endpoint /api/backup, la ejecución del cron y las restricciones de acceso y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1900"/>
        <w:gridCol w:w="2400"/>
        <w:gridCol w:w="1900"/>
        <w:gridCol w:w="900"/>
        <w:tblGridChange w:id="0">
          <w:tblGrid>
            <w:gridCol w:w="800"/>
            <w:gridCol w:w="2300"/>
            <w:gridCol w:w="1900"/>
            <w:gridCol w:w="24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Endpoint GET /api/backup retorna descarga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BD con datos; usuario autenticado con rol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GET /api/backup con token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200; header Content-Disposition: attachment; filename correcto; JSON parseable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Backup incluye todas las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BD con al menos 1 registro por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GET /api/backup y parsear respuesta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Propiedad database contiene las 6 claves esperadas; cada una es un array no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Acceso a /api/backup sin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Sin header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GET /api/backup sin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HTTP 401; sin datos expuestos; sin descarga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Cron persiste archivo en /backups/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Servidor iniciado; directorio /backups/ existe con permisos de 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Esperar ejecución del cron a las 02:00 AM o disparar manualmente la 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Archivo cron_backup_YYYY-MM-DD_HH-MM-SS.json creado; tamaño &gt; 0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Cron no ejecuta en runtime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NEXT_RUNTIME='edge'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Iniciar servidor con runtime Edge y verificar ejecución del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Sin archivo generado; log indica 'Cron deshabilitado en entorno no-Node.js'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5.3 Pruebas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Cubren el ciclo completo: descarga manual, validación de contenido y restauración exitosa desde un respaldo.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1900"/>
        <w:gridCol w:w="2400"/>
        <w:gridCol w:w="1900"/>
        <w:gridCol w:w="900"/>
        <w:tblGridChange w:id="0">
          <w:tblGrid>
            <w:gridCol w:w="800"/>
            <w:gridCol w:w="2300"/>
            <w:gridCol w:w="1900"/>
            <w:gridCol w:w="24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Descarga manual y validación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BD con datos reales de prueba; navegador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1.Autenticarse como admin 2.GET /api/backup 3.Abrir archivo descargado 4.Verificar conteos por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Archivo con nombre correcto; conteos coinciden con registros de BD; JSON bien formado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Restauración desde respaldo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Archivo de backup generado previamente; BD de test vacía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1.Parsear backup 2.Truncar tablas en BD de test 3.Insertar con createMany 4.Comparar conteos pre/post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Conteos idénticos al backup original; relaciones foráneas íntegras; sin errores 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Ciclo completo de cron en entorno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Docker Compose activo; reloj del sistema configurado o mock de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1.Disparar cron manualmente 2.Verificar archivo en /backups/ 3.Parsear y validar estructura 4.Comparar con datos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Archivo creado con tipo AUTOMATIC_CRON_BACKUP; datos completos y coherentes con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5.4 Pruebas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Miden el impacto del proceso de backup en tiempos de respuesta y estabilidad del servidor bajo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1900"/>
        <w:gridCol w:w="2400"/>
        <w:gridCol w:w="1900"/>
        <w:gridCol w:w="900"/>
        <w:tblGridChange w:id="0">
          <w:tblGrid>
            <w:gridCol w:w="800"/>
            <w:gridCol w:w="2300"/>
            <w:gridCol w:w="1900"/>
            <w:gridCol w:w="24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Tiempo de generación con BD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BD de test con 100.000 registros distribuidos en las 6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GET /api/backup y medir tiempo de respuesta con curl o Artillery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Respuesta en &lt; 10s; sin timeout HTTP; memoria del proceso estable (sin memory leak)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4472c4"/>
                <w:sz w:val="17"/>
                <w:szCs w:val="17"/>
                <w:rtl w:val="0"/>
              </w:rPr>
              <w:t xml:space="preserve">BP-02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Cron no bloquea otras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Servidor bajo carga moderada (20 req/s simuladas)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Disparar cron durante carga activa; medir latencia de otras 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7"/>
                <w:szCs w:val="17"/>
                <w:rtl w:val="0"/>
              </w:rPr>
              <w:t xml:space="preserve">Latencia P95 de rutas normales no aumenta &gt; 20% durante ejecución del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7a3e"/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pBdr>
          <w:bottom w:color="2e75b6" w:space="3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6. Ambientes de Prueba y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800"/>
        <w:gridCol w:w="2600"/>
        <w:tblGridChange w:id="0">
          <w:tblGrid>
            <w:gridCol w:w="2000"/>
            <w:gridCol w:w="2800"/>
            <w:gridCol w:w="28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Local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Docker Compose + Next.js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postgres:15 contenedor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Unitarias e integración durante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GitHub Actions / 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postgres:15 servicio efimero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Ejecución automática en cada 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VPS o Vercel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Supabase instancia de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E2E y pruebas de rendimiento pre-release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Vercel +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PostgreSQL Supabase (prod)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Solo smoke tests post-deploy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6.1 Variables de entorno requeridas para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DATABASE_URL: URL de conexión a la BD de test (nunca producción).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JWT_SECRET: clave de firma para tokens en ambiente de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NEXT_RUNTIME: 'nodejs' para habilitar el cron en pruebas de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BACKUP_DIR: ruta absoluta al directorio /backups/ en el runner de 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6.2 Estrategia de aislamiento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Cada suite de tests utiliza transacciones revertidas (rollback) para no contaminar la BD entre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Seeds de datos estáticos versionados en /prisma/seed-test.ts para garantizar reproducibilidad.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La BD de producción nunca debe ser usada en ningún ambiente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pBdr>
          <w:bottom w:color="2e75b6" w:space="3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7. Criterios de Salida y Gestión de Defectos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3200"/>
        <w:gridCol w:w="2600"/>
        <w:tblGridChange w:id="0">
          <w:tblGrid>
            <w:gridCol w:w="1800"/>
            <w:gridCol w:w="2600"/>
            <w:gridCol w:w="32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Tiempo de resolución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9"/>
                <w:szCs w:val="19"/>
                <w:rtl w:val="0"/>
              </w:rPr>
              <w:t xml:space="preserve">S1 —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Bloquea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Sistema caído, pérdida de datos, vulnerabilidad de seguridad explotable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Inmediato (&lt; 4 horas)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b1c1c"/>
                <w:sz w:val="19"/>
                <w:szCs w:val="19"/>
                <w:rtl w:val="0"/>
              </w:rPr>
              <w:t xml:space="preserve">S2 —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Resuelto pre-release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Funcionalidad principal no opera; sin workaround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&lt; 1 día hábil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d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9"/>
                <w:szCs w:val="19"/>
                <w:rtl w:val="0"/>
              </w:rPr>
              <w:t xml:space="preserve">S3 —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Planificado al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Funcionalidad degradada; workaround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&lt; 3 días hábiles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5c00"/>
                <w:sz w:val="19"/>
                <w:szCs w:val="19"/>
                <w:rtl w:val="0"/>
              </w:rPr>
              <w:t xml:space="preserve">S4 —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Cosmético, mejora de UX o caso de borde poco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Siguiente sprint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pBdr>
          <w:bottom w:color="2e75b6" w:space="3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8. Control de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5000"/>
        <w:gridCol w:w="2200"/>
        <w:tblGridChange w:id="0">
          <w:tblGrid>
            <w:gridCol w:w="1200"/>
            <w:gridCol w:w="1800"/>
            <w:gridCol w:w="50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25-05-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Emisión inicial: 48 casos de prueba para Auth, Matches y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Felipe Martínez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1.0.1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30-05-2025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Anexo con Evidencia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>
                <w:color w:val="1f1f1f"/>
                <w:sz w:val="19"/>
                <w:szCs w:val="19"/>
              </w:rPr>
            </w:pP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Felipe Martinez</w:t>
            </w:r>
          </w:p>
        </w:tc>
      </w:tr>
    </w:tbl>
    <w:p w:rsidR="00000000" w:rsidDel="00000000" w:rsidP="00000000" w:rsidRDefault="00000000" w:rsidRPr="00000000" w14:paraId="0000024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pBdr>
          <w:bottom w:color="2e75b6" w:space="3" w:sz="6" w:val="single"/>
        </w:pBdr>
        <w:rPr/>
      </w:pPr>
      <w:bookmarkStart w:colFirst="0" w:colLast="0" w:name="_heading=h.dzc8dnj5jra" w:id="0"/>
      <w:bookmarkEnd w:id="0"/>
      <w:r w:rsidDel="00000000" w:rsidR="00000000" w:rsidRPr="00000000">
        <w:rPr>
          <w:rtl w:val="0"/>
        </w:rPr>
        <w:t xml:space="preserve">9. Anexo</w:t>
      </w:r>
    </w:p>
    <w:p w:rsidR="00000000" w:rsidDel="00000000" w:rsidP="00000000" w:rsidRDefault="00000000" w:rsidRPr="00000000" w14:paraId="0000024F">
      <w:pPr>
        <w:pStyle w:val="Heading2"/>
        <w:rPr/>
      </w:pPr>
      <w:bookmarkStart w:colFirst="0" w:colLast="0" w:name="_heading=h.enpepl3xjpqg" w:id="1"/>
      <w:bookmarkEnd w:id="1"/>
      <w:r w:rsidDel="00000000" w:rsidR="00000000" w:rsidRPr="00000000">
        <w:rPr>
          <w:rtl w:val="0"/>
        </w:rPr>
        <w:t xml:space="preserve">9.1 Evidencia pruebas unitarias del índice 3.1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3733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/>
      </w:pPr>
      <w:bookmarkStart w:colFirst="0" w:colLast="0" w:name="_heading=h.pfp8itg1ljzx" w:id="2"/>
      <w:bookmarkEnd w:id="2"/>
      <w:r w:rsidDel="00000000" w:rsidR="00000000" w:rsidRPr="00000000">
        <w:rPr>
          <w:rtl w:val="0"/>
        </w:rPr>
        <w:t xml:space="preserve">9.2 Evidencia pruebas de Integración del índice 3.2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3365500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bookmarkStart w:colFirst="0" w:colLast="0" w:name="_heading=h.5dtmcx3mmsws" w:id="3"/>
      <w:bookmarkEnd w:id="3"/>
      <w:r w:rsidDel="00000000" w:rsidR="00000000" w:rsidRPr="00000000">
        <w:rPr>
          <w:rtl w:val="0"/>
        </w:rPr>
        <w:t xml:space="preserve">9.3 Evidencia pruebas E2E del índice 3.3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14986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15240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16510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/>
      </w:pPr>
      <w:bookmarkStart w:colFirst="0" w:colLast="0" w:name="_heading=h.hmskjviyer5b" w:id="4"/>
      <w:bookmarkEnd w:id="4"/>
      <w:r w:rsidDel="00000000" w:rsidR="00000000" w:rsidRPr="00000000">
        <w:rPr>
          <w:rtl w:val="0"/>
        </w:rPr>
        <w:t xml:space="preserve">9.4 Evidencia pruebas de Rendimiento del índice 3.4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26416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23368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114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rPr/>
      </w:pPr>
      <w:bookmarkStart w:colFirst="0" w:colLast="0" w:name="_heading=h.ticqimqbc3qu" w:id="5"/>
      <w:bookmarkEnd w:id="5"/>
      <w:r w:rsidDel="00000000" w:rsidR="00000000" w:rsidRPr="00000000">
        <w:rPr>
          <w:rtl w:val="0"/>
        </w:rPr>
        <w:t xml:space="preserve">9.5 Evidencia pruebas Unitarias del índice 4.1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26670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rPr/>
      </w:pPr>
      <w:bookmarkStart w:colFirst="0" w:colLast="0" w:name="_heading=h.z7rvjvfqwit4" w:id="6"/>
      <w:bookmarkEnd w:id="6"/>
      <w:r w:rsidDel="00000000" w:rsidR="00000000" w:rsidRPr="00000000">
        <w:rPr>
          <w:rtl w:val="0"/>
        </w:rPr>
        <w:t xml:space="preserve">9.6 Evidencia pruebas de Integración del índice 4.2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26924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heading=h.a8vuxgom8vuk" w:id="7"/>
      <w:bookmarkEnd w:id="7"/>
      <w:r w:rsidDel="00000000" w:rsidR="00000000" w:rsidRPr="00000000">
        <w:rPr>
          <w:rtl w:val="0"/>
        </w:rPr>
        <w:t xml:space="preserve">9.7 Evidencia pruebas E2E del índice 4.3</w:t>
      </w:r>
      <w:r w:rsidDel="00000000" w:rsidR="00000000" w:rsidRPr="00000000">
        <w:rPr/>
        <w:drawing>
          <wp:inline distB="114300" distT="114300" distL="114300" distR="114300">
            <wp:extent cx="6290000" cy="24003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14097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1270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12573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90000" cy="1181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rPr/>
      </w:pPr>
      <w:bookmarkStart w:colFirst="0" w:colLast="0" w:name="_heading=h.yhu8rbbppc8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rPr/>
      </w:pPr>
      <w:bookmarkStart w:colFirst="0" w:colLast="0" w:name="_heading=h.ghnhvxkyc52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/>
      </w:pPr>
      <w:bookmarkStart w:colFirst="0" w:colLast="0" w:name="_heading=h.z2in5ldp7v8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rPr/>
      </w:pPr>
      <w:bookmarkStart w:colFirst="0" w:colLast="0" w:name="_heading=h.lzmmy9cvv4v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heading=h.7enuvhlwl5c" w:id="12"/>
      <w:bookmarkEnd w:id="12"/>
      <w:r w:rsidDel="00000000" w:rsidR="00000000" w:rsidRPr="00000000">
        <w:rPr>
          <w:rtl w:val="0"/>
        </w:rPr>
        <w:t xml:space="preserve">9.8 Evidencia pruebas de Rendimiento del índice 4.4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mp-01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61722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mp-02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58420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/>
      </w:pPr>
      <w:bookmarkStart w:colFirst="0" w:colLast="0" w:name="_heading=h.k3sitolis3p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/>
      </w:pPr>
      <w:bookmarkStart w:colFirst="0" w:colLast="0" w:name="_heading=h.h4xa5hqb3br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heading=h.cfzfettn2iz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/>
      </w:pPr>
      <w:bookmarkStart w:colFirst="0" w:colLast="0" w:name="_heading=h.v49ui215j2t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rPr/>
      </w:pPr>
      <w:bookmarkStart w:colFirst="0" w:colLast="0" w:name="_heading=h.mwrltr9zibe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bookmarkStart w:colFirst="0" w:colLast="0" w:name="_heading=h.sdd31izhjq8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bookmarkStart w:colFirst="0" w:colLast="0" w:name="_heading=h.h6uvfshooy8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/>
      </w:pPr>
      <w:bookmarkStart w:colFirst="0" w:colLast="0" w:name="_heading=h.hdk8g5fatb8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rPr/>
      </w:pPr>
      <w:bookmarkStart w:colFirst="0" w:colLast="0" w:name="_heading=h.61rcl4w9ufh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rPr/>
      </w:pPr>
      <w:bookmarkStart w:colFirst="0" w:colLast="0" w:name="_heading=h.kxha8sogzbh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/>
      </w:pPr>
      <w:bookmarkStart w:colFirst="0" w:colLast="0" w:name="_heading=h.vd8drxnflm2b" w:id="23"/>
      <w:bookmarkEnd w:id="23"/>
      <w:r w:rsidDel="00000000" w:rsidR="00000000" w:rsidRPr="00000000">
        <w:rPr>
          <w:rtl w:val="0"/>
        </w:rPr>
        <w:t xml:space="preserve">9.9 Evidencia pruebas unitarias del índice 5.1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4292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rPr/>
      </w:pPr>
      <w:bookmarkStart w:colFirst="0" w:colLast="0" w:name="_heading=h.p9q6f0m5cvw4" w:id="24"/>
      <w:bookmarkEnd w:id="24"/>
      <w:r w:rsidDel="00000000" w:rsidR="00000000" w:rsidRPr="00000000">
        <w:rPr>
          <w:rtl w:val="0"/>
        </w:rPr>
        <w:t xml:space="preserve">9.10 Evidencia pruebas de Integración del índice 5.2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40132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rPr/>
      </w:pPr>
      <w:bookmarkStart w:colFirst="0" w:colLast="0" w:name="_heading=h.tmrtgwk3uy7k" w:id="25"/>
      <w:bookmarkEnd w:id="25"/>
      <w:r w:rsidDel="00000000" w:rsidR="00000000" w:rsidRPr="00000000">
        <w:rPr>
          <w:rtl w:val="0"/>
        </w:rPr>
        <w:t xml:space="preserve">9.11 Evidencia pruebas E2E del índice 5.3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1371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90000" cy="1663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90000" cy="1625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90000" cy="21082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rPr/>
      </w:pPr>
      <w:bookmarkStart w:colFirst="0" w:colLast="0" w:name="_heading=h.z58c4armwgy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/>
      </w:pPr>
      <w:bookmarkStart w:colFirst="0" w:colLast="0" w:name="_heading=h.x1misi3wv31o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rPr/>
      </w:pPr>
      <w:bookmarkStart w:colFirst="0" w:colLast="0" w:name="_heading=h.u66qlvdur7m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rPr/>
      </w:pPr>
      <w:bookmarkStart w:colFirst="0" w:colLast="0" w:name="_heading=h.8wx3ot9ex0pe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rPr/>
      </w:pPr>
      <w:bookmarkStart w:colFirst="0" w:colLast="0" w:name="_heading=h.9lxgg11ny9zi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rPr/>
      </w:pPr>
      <w:bookmarkStart w:colFirst="0" w:colLast="0" w:name="_heading=h.7lf7bx39u30y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heading=h.cndbehlsjc12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rPr/>
      </w:pPr>
      <w:bookmarkStart w:colFirst="0" w:colLast="0" w:name="_heading=h.bz7qbenxs1fp" w:id="33"/>
      <w:bookmarkEnd w:id="33"/>
      <w:r w:rsidDel="00000000" w:rsidR="00000000" w:rsidRPr="00000000">
        <w:rPr>
          <w:rtl w:val="0"/>
        </w:rPr>
        <w:t xml:space="preserve">9.12 Evidencia pruebas de Rendimiento del índice 5.4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1955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12573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/>
        <w:drawing>
          <wp:inline distB="114300" distT="114300" distL="114300" distR="114300">
            <wp:extent cx="6290000" cy="1511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90000" cy="1574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0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5">
    <w:pPr>
      <w:pBdr>
        <w:top w:color="2e75b6" w:space="2" w:sz="4" w:val="single"/>
      </w:pBdr>
      <w:tabs>
        <w:tab w:val="right" w:leader="none" w:pos="9600"/>
      </w:tabs>
      <w:spacing w:before="60" w:lineRule="auto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QA-TEST-PLAN-001 v1.0 — PadelHub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4">
    <w:pPr>
      <w:pBdr>
        <w:bottom w:color="2e75b6" w:space="1" w:sz="6" w:val="single"/>
      </w:pBdr>
      <w:tabs>
        <w:tab w:val="right" w:leader="none" w:pos="9600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7"/>
        <w:szCs w:val="17"/>
        <w:rtl w:val="0"/>
      </w:rPr>
      <w:t xml:space="preserve">PadelHub — Plan de Pruebas del Sistema</w:t>
    </w:r>
    <w:r w:rsidDel="00000000" w:rsidR="00000000" w:rsidRPr="00000000">
      <w:rPr>
        <w:rFonts w:ascii="Arial" w:cs="Arial" w:eastAsia="Arial" w:hAnsi="Arial"/>
        <w:i w:val="1"/>
        <w:iCs w:val="1"/>
        <w:color w:val="888888"/>
        <w:sz w:val="15"/>
        <w:szCs w:val="15"/>
        <w:rtl w:val="0"/>
      </w:rPr>
      <w:t xml:space="preserve">CONFIDENCIAL | USO INTERNO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2.png"/><Relationship Id="rId21" Type="http://schemas.openxmlformats.org/officeDocument/2006/relationships/image" Target="media/image5.png"/><Relationship Id="rId24" Type="http://schemas.openxmlformats.org/officeDocument/2006/relationships/image" Target="media/image9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7.png"/><Relationship Id="rId25" Type="http://schemas.openxmlformats.org/officeDocument/2006/relationships/image" Target="media/image19.png"/><Relationship Id="rId28" Type="http://schemas.openxmlformats.org/officeDocument/2006/relationships/image" Target="media/image8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6.png"/><Relationship Id="rId8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5.png"/><Relationship Id="rId11" Type="http://schemas.openxmlformats.org/officeDocument/2006/relationships/image" Target="media/image11.png"/><Relationship Id="rId33" Type="http://schemas.openxmlformats.org/officeDocument/2006/relationships/image" Target="media/image15.png"/><Relationship Id="rId10" Type="http://schemas.openxmlformats.org/officeDocument/2006/relationships/image" Target="media/image17.png"/><Relationship Id="rId32" Type="http://schemas.openxmlformats.org/officeDocument/2006/relationships/image" Target="media/image1.png"/><Relationship Id="rId13" Type="http://schemas.openxmlformats.org/officeDocument/2006/relationships/image" Target="media/image16.png"/><Relationship Id="rId35" Type="http://schemas.openxmlformats.org/officeDocument/2006/relationships/footer" Target="footer1.xml"/><Relationship Id="rId12" Type="http://schemas.openxmlformats.org/officeDocument/2006/relationships/image" Target="media/image26.png"/><Relationship Id="rId34" Type="http://schemas.openxmlformats.org/officeDocument/2006/relationships/header" Target="header1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19" Type="http://schemas.openxmlformats.org/officeDocument/2006/relationships/image" Target="media/image12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84KrV2Nsm+kmiFHIyzIFahigtg==">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