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CB46F" w14:textId="5BFB7411" w:rsidR="000D2704" w:rsidRPr="008D3C63" w:rsidRDefault="000D2704" w:rsidP="000D2704">
      <w:pPr>
        <w:pStyle w:val="Ttulo1"/>
        <w:numPr>
          <w:ilvl w:val="0"/>
          <w:numId w:val="1"/>
        </w:numPr>
        <w:rPr>
          <w:szCs w:val="24"/>
        </w:rPr>
      </w:pPr>
      <w:r>
        <w:rPr>
          <w:szCs w:val="24"/>
          <w:lang w:val="es-CL"/>
        </w:rPr>
        <w:t>Desarrollo</w:t>
      </w:r>
    </w:p>
    <w:p w14:paraId="6922E854" w14:textId="1C32A908" w:rsidR="000D2704" w:rsidRDefault="000D2704" w:rsidP="000D2704">
      <w:pPr>
        <w:pStyle w:val="Ttulo2"/>
        <w:numPr>
          <w:ilvl w:val="1"/>
          <w:numId w:val="1"/>
        </w:numPr>
        <w:rPr>
          <w:i w:val="0"/>
          <w:lang w:val="es-CL" w:eastAsia="es-CL"/>
        </w:rPr>
      </w:pPr>
      <w:r w:rsidRPr="008D3C63">
        <w:rPr>
          <w:i w:val="0"/>
          <w:lang w:val="es-CL" w:eastAsia="es-CL"/>
        </w:rPr>
        <w:t xml:space="preserve"> </w:t>
      </w:r>
      <w:r w:rsidRPr="000D2704">
        <w:rPr>
          <w:i w:val="0"/>
          <w:lang w:val="es-CL" w:eastAsia="es-CL"/>
        </w:rPr>
        <w:t>Sistemas de acondicionamiento térmico residencial</w:t>
      </w:r>
    </w:p>
    <w:p w14:paraId="22A478A3" w14:textId="1BCFBB9A" w:rsidR="000D2704" w:rsidRDefault="000D2704" w:rsidP="000D2704">
      <w:pPr>
        <w:rPr>
          <w:rFonts w:ascii="Times New Roman" w:hAnsi="Times New Roman"/>
          <w:szCs w:val="24"/>
          <w:lang w:val="es-CL" w:eastAsia="es-CL"/>
        </w:rPr>
      </w:pPr>
      <w:r w:rsidRPr="000D2704">
        <w:rPr>
          <w:rFonts w:ascii="Times New Roman" w:hAnsi="Times New Roman"/>
          <w:szCs w:val="24"/>
          <w:lang w:val="es-CL" w:eastAsia="es-CL"/>
        </w:rPr>
        <w:t xml:space="preserve">Los sistemas de acondicionamiento térmico residencial corresponden al conjunto de soluciones tecnológicas encargadas de regular las condiciones higrotérmicas interiores de las edificaciones, comportándose termodinámicamente como volúmenes de control operando en estado estacionario. Bajo este enfoque, el principio de conservación de la energía (Primera Ley de la Termodinámica) establece que, para mantener la estabilidad térmica de la vivienda, es imperativo suplir de forma continua las pérdidas de calor </w:t>
      </w:r>
      <w:r>
        <w:rPr>
          <w:rFonts w:ascii="Times New Roman" w:hAnsi="Times New Roman"/>
          <w:szCs w:val="24"/>
          <w:lang w:val="es-CL" w:eastAsia="es-CL"/>
        </w:rPr>
        <w:t>hacia el exterior.</w:t>
      </w:r>
    </w:p>
    <w:p w14:paraId="28AA99D0" w14:textId="77777777" w:rsidR="00033C09" w:rsidRDefault="003153EE" w:rsidP="000D2704">
      <w:pPr>
        <w:rPr>
          <w:rFonts w:ascii="Times New Roman" w:hAnsi="Times New Roman"/>
          <w:szCs w:val="24"/>
          <w:lang w:val="es-CL" w:eastAsia="es-CL"/>
        </w:rPr>
      </w:pPr>
      <w:r w:rsidRPr="003153EE">
        <w:rPr>
          <w:rFonts w:ascii="Times New Roman" w:hAnsi="Times New Roman"/>
          <w:szCs w:val="24"/>
          <w:lang w:val="es-CL" w:eastAsia="es-CL"/>
        </w:rPr>
        <w:t>Como el enfoque de esta investigación se desarrolla en relación a viviendas de carácter social, la selección tecnológica y el consumo energético residencial están rígidamente condicionados por la vulnerabilidad económica y la restricción presupuestaria de las familias beneficiarias.</w:t>
      </w:r>
      <w:r>
        <w:rPr>
          <w:rFonts w:ascii="Times New Roman" w:hAnsi="Times New Roman"/>
          <w:szCs w:val="24"/>
          <w:lang w:val="es-CL" w:eastAsia="es-CL"/>
        </w:rPr>
        <w:t xml:space="preserve"> </w:t>
      </w:r>
      <w:r w:rsidRPr="003153EE">
        <w:rPr>
          <w:rFonts w:ascii="Times New Roman" w:hAnsi="Times New Roman"/>
          <w:szCs w:val="24"/>
          <w:lang w:val="es-CL" w:eastAsia="es-CL"/>
        </w:rPr>
        <w:t xml:space="preserve">Bajo este escenario habitacional y de vulnerabilidad, el análisis de este estudio se acota estrictamente a los sistemas de calefacción. Esta delimitación metodológica se fundamenta en que la demanda de energía para calefacción representa el componente más crítico y desfavorable dentro del balance higrotérmico residencial anual, concentrando el mayor impacto financiero directo sobre el presupuesto de los hogares vulnerables en los períodos </w:t>
      </w:r>
      <w:r w:rsidR="00090D5F">
        <w:rPr>
          <w:rFonts w:ascii="Times New Roman" w:hAnsi="Times New Roman"/>
          <w:szCs w:val="24"/>
          <w:lang w:val="es-CL" w:eastAsia="es-CL"/>
        </w:rPr>
        <w:t>fríos.</w:t>
      </w:r>
    </w:p>
    <w:p w14:paraId="368B5D06" w14:textId="154D7DEC" w:rsidR="00391E76" w:rsidRDefault="00391E76" w:rsidP="000D2704">
      <w:pPr>
        <w:rPr>
          <w:rFonts w:ascii="Times New Roman" w:hAnsi="Times New Roman"/>
          <w:szCs w:val="24"/>
          <w:lang w:val="es-CL" w:eastAsia="es-CL"/>
        </w:rPr>
      </w:pPr>
      <w:r>
        <w:rPr>
          <w:rFonts w:ascii="Times New Roman" w:hAnsi="Times New Roman"/>
          <w:szCs w:val="24"/>
          <w:lang w:val="es-CL" w:eastAsia="es-CL"/>
        </w:rPr>
        <w:t>E</w:t>
      </w:r>
      <w:r w:rsidR="00033C09" w:rsidRPr="00033C09">
        <w:rPr>
          <w:rFonts w:ascii="Times New Roman" w:hAnsi="Times New Roman"/>
          <w:szCs w:val="24"/>
          <w:lang w:val="es-CL" w:eastAsia="es-CL"/>
        </w:rPr>
        <w:t>l sistema de calefacción actúa como el subsistema térmico activo encargado de transformar una potencia química o eléctrica de entrada en una tasa neta de transferencia de calor útil inyectada al espacio habitable. Esta potencia térmica de salida</w:t>
      </w:r>
      <w:r w:rsidR="008C34B2">
        <w:rPr>
          <w:rFonts w:ascii="Times New Roman" w:hAnsi="Times New Roman"/>
          <w:szCs w:val="24"/>
          <w:lang w:val="es-CL" w:eastAsia="es-CL"/>
        </w:rPr>
        <w:t xml:space="preserve"> (</w:t>
      </w:r>
      <w:r w:rsidR="008C34B2" w:rsidRPr="008C34B2">
        <w:rPr>
          <w:rFonts w:ascii="Times New Roman" w:hAnsi="Times New Roman"/>
          <w:szCs w:val="24"/>
          <w:lang w:val="es-CL" w:eastAsia="es-CL"/>
        </w:rPr>
        <w:t>Flujo Térmico o Potencia Útil</w:t>
      </w:r>
      <w:r>
        <w:rPr>
          <w:rFonts w:ascii="Times New Roman" w:hAnsi="Times New Roman"/>
          <w:szCs w:val="24"/>
          <w:lang w:val="es-CL" w:eastAsia="es-CL"/>
        </w:rPr>
        <w:t>,</w:t>
      </w:r>
      <w:r w:rsidR="008C34B2">
        <w:rPr>
          <w:rFonts w:ascii="Times New Roman" w:hAnsi="Times New Roman"/>
          <w:szCs w:val="24"/>
          <w:lang w:val="es-CL" w:eastAsia="es-CL"/>
        </w:rPr>
        <w:t xml:space="preserve"> </w:t>
      </w:r>
      <m:oMath>
        <m:sSub>
          <m:sSubPr>
            <m:ctrlPr>
              <w:rPr>
                <w:rFonts w:ascii="Cambria Math" w:hAnsi="Cambria Math"/>
                <w:i/>
                <w:szCs w:val="24"/>
                <w:lang w:val="es-CL" w:eastAsia="es-CL"/>
              </w:rPr>
            </m:ctrlPr>
          </m:sSubPr>
          <m:e>
            <m:r>
              <m:rPr>
                <m:sty m:val="p"/>
              </m:rPr>
              <w:rPr>
                <w:rFonts w:ascii="Cambria Math" w:hAnsi="Cambria Math"/>
                <w:szCs w:val="24"/>
                <w:lang w:val="es-CL" w:eastAsia="es-CL"/>
              </w:rPr>
              <m:t>Φ</m:t>
            </m:r>
            <m:ctrlPr>
              <w:rPr>
                <w:rFonts w:ascii="Cambria Math" w:hAnsi="Cambria Math"/>
                <w:szCs w:val="24"/>
                <w:lang w:val="es-CL" w:eastAsia="es-CL"/>
              </w:rPr>
            </m:ctrlPr>
          </m:e>
          <m:sub>
            <m:r>
              <m:rPr>
                <m:nor/>
              </m:rPr>
              <w:rPr>
                <w:rFonts w:ascii="Cambria Math" w:hAnsi="Cambria Math"/>
                <w:szCs w:val="24"/>
                <w:lang w:val="es-CL" w:eastAsia="es-CL"/>
              </w:rPr>
              <m:t>útil</m:t>
            </m:r>
          </m:sub>
        </m:sSub>
      </m:oMath>
      <w:r>
        <w:rPr>
          <w:rFonts w:ascii="Times New Roman" w:hAnsi="Times New Roman"/>
          <w:szCs w:val="24"/>
          <w:lang w:val="es-CL" w:eastAsia="es-CL"/>
        </w:rPr>
        <w:t>)</w:t>
      </w:r>
      <w:r w:rsidR="008C34B2">
        <w:rPr>
          <w:rFonts w:ascii="Times New Roman" w:hAnsi="Times New Roman"/>
          <w:szCs w:val="24"/>
          <w:lang w:val="es-CL" w:eastAsia="es-CL"/>
        </w:rPr>
        <w:t xml:space="preserve"> </w:t>
      </w:r>
      <w:r w:rsidR="00033C09" w:rsidRPr="00033C09">
        <w:rPr>
          <w:rFonts w:ascii="Times New Roman" w:hAnsi="Times New Roman"/>
          <w:szCs w:val="24"/>
          <w:lang w:val="es-CL" w:eastAsia="es-CL"/>
        </w:rPr>
        <w:t xml:space="preserve">es expresada según los requerimientos de diseño en kW, Watts, kcal/h o BTU/h. </w:t>
      </w:r>
      <w:r w:rsidR="007D6755" w:rsidRPr="007D6755">
        <w:rPr>
          <w:rFonts w:ascii="Times New Roman" w:hAnsi="Times New Roman"/>
          <w:szCs w:val="24"/>
          <w:lang w:val="es-CL" w:eastAsia="es-CL"/>
        </w:rPr>
        <w:t xml:space="preserve">Por otra parte, para fuentes de energía tales como la biomasa y los combustibles fósiles, la densidad energética intrínseca </w:t>
      </w:r>
      <w:r w:rsidR="00033C09" w:rsidRPr="00033C09">
        <w:rPr>
          <w:rFonts w:ascii="Times New Roman" w:hAnsi="Times New Roman"/>
          <w:szCs w:val="24"/>
          <w:lang w:val="es-CL" w:eastAsia="es-CL"/>
        </w:rPr>
        <w:t>se parametriza mediante su poder calorífico, el cual define la entalpía de combustión disponible.</w:t>
      </w:r>
    </w:p>
    <w:p w14:paraId="356DE4BF" w14:textId="5046C746" w:rsidR="00B62BFF" w:rsidRDefault="00FB3A4B" w:rsidP="00B62BFF">
      <w:pPr>
        <w:rPr>
          <w:rFonts w:ascii="Times New Roman" w:hAnsi="Times New Roman"/>
          <w:szCs w:val="24"/>
          <w:lang w:val="es-CL" w:eastAsia="es-CL"/>
        </w:rPr>
      </w:pPr>
      <w:r w:rsidRPr="00FB3A4B">
        <w:rPr>
          <w:rFonts w:ascii="Times New Roman" w:hAnsi="Times New Roman"/>
          <w:szCs w:val="24"/>
          <w:lang w:val="es-CL" w:eastAsia="es-CL"/>
        </w:rPr>
        <w:t xml:space="preserve">Con el propósito de estructurar la evaluación de ciclo de vida mediante el </w:t>
      </w:r>
      <w:r>
        <w:rPr>
          <w:rFonts w:ascii="Times New Roman" w:hAnsi="Times New Roman"/>
          <w:szCs w:val="24"/>
          <w:lang w:val="es-CL" w:eastAsia="es-CL"/>
        </w:rPr>
        <w:t xml:space="preserve">criterio del </w:t>
      </w:r>
      <w:r w:rsidRPr="00FB3A4B">
        <w:rPr>
          <w:rFonts w:ascii="Times New Roman" w:hAnsi="Times New Roman"/>
          <w:szCs w:val="24"/>
          <w:lang w:val="es-CL" w:eastAsia="es-CL"/>
        </w:rPr>
        <w:t>Costo Anual Equivalente</w:t>
      </w:r>
      <w:r>
        <w:rPr>
          <w:rFonts w:ascii="Times New Roman" w:hAnsi="Times New Roman"/>
          <w:szCs w:val="24"/>
          <w:lang w:val="es-CL" w:eastAsia="es-CL"/>
        </w:rPr>
        <w:t xml:space="preserve"> (CAE)</w:t>
      </w:r>
      <w:r w:rsidRPr="00FB3A4B">
        <w:rPr>
          <w:rFonts w:ascii="Times New Roman" w:hAnsi="Times New Roman"/>
          <w:szCs w:val="24"/>
          <w:lang w:val="es-CL" w:eastAsia="es-CL"/>
        </w:rPr>
        <w:t xml:space="preserve">, los costos se expresan en Unidades de Fomento por hora (UF/h). De este modo, el gasto operativo y el comportamiento energético quedan vinculados mediante el indicador del Costo Nivelado del Calor, conocido como </w:t>
      </w:r>
      <w:proofErr w:type="spellStart"/>
      <w:r w:rsidRPr="009A2C98">
        <w:rPr>
          <w:rFonts w:ascii="Times New Roman" w:hAnsi="Times New Roman"/>
          <w:i/>
          <w:iCs/>
          <w:szCs w:val="24"/>
          <w:lang w:val="es-CL" w:eastAsia="es-CL"/>
        </w:rPr>
        <w:t>Levelized</w:t>
      </w:r>
      <w:proofErr w:type="spellEnd"/>
      <w:r w:rsidRPr="009A2C98">
        <w:rPr>
          <w:rFonts w:ascii="Times New Roman" w:hAnsi="Times New Roman"/>
          <w:i/>
          <w:iCs/>
          <w:szCs w:val="24"/>
          <w:lang w:val="es-CL" w:eastAsia="es-CL"/>
        </w:rPr>
        <w:t xml:space="preserve"> </w:t>
      </w:r>
      <w:proofErr w:type="spellStart"/>
      <w:r w:rsidRPr="009A2C98">
        <w:rPr>
          <w:rFonts w:ascii="Times New Roman" w:hAnsi="Times New Roman"/>
          <w:i/>
          <w:iCs/>
          <w:szCs w:val="24"/>
          <w:lang w:val="es-CL" w:eastAsia="es-CL"/>
        </w:rPr>
        <w:t>Cost</w:t>
      </w:r>
      <w:proofErr w:type="spellEnd"/>
      <w:r w:rsidRPr="009A2C98">
        <w:rPr>
          <w:rFonts w:ascii="Times New Roman" w:hAnsi="Times New Roman"/>
          <w:i/>
          <w:iCs/>
          <w:szCs w:val="24"/>
          <w:lang w:val="es-CL" w:eastAsia="es-CL"/>
        </w:rPr>
        <w:t xml:space="preserve"> </w:t>
      </w:r>
      <w:proofErr w:type="spellStart"/>
      <w:r w:rsidRPr="009A2C98">
        <w:rPr>
          <w:rFonts w:ascii="Times New Roman" w:hAnsi="Times New Roman"/>
          <w:i/>
          <w:iCs/>
          <w:szCs w:val="24"/>
          <w:lang w:val="es-CL" w:eastAsia="es-CL"/>
        </w:rPr>
        <w:t>of</w:t>
      </w:r>
      <w:proofErr w:type="spellEnd"/>
      <w:r w:rsidRPr="009A2C98">
        <w:rPr>
          <w:rFonts w:ascii="Times New Roman" w:hAnsi="Times New Roman"/>
          <w:i/>
          <w:iCs/>
          <w:szCs w:val="24"/>
          <w:lang w:val="es-CL" w:eastAsia="es-CL"/>
        </w:rPr>
        <w:t xml:space="preserve"> </w:t>
      </w:r>
      <w:proofErr w:type="spellStart"/>
      <w:r w:rsidRPr="009A2C98">
        <w:rPr>
          <w:rFonts w:ascii="Times New Roman" w:hAnsi="Times New Roman"/>
          <w:i/>
          <w:iCs/>
          <w:szCs w:val="24"/>
          <w:lang w:val="es-CL" w:eastAsia="es-CL"/>
        </w:rPr>
        <w:t>Heat</w:t>
      </w:r>
      <w:proofErr w:type="spellEnd"/>
      <w:r w:rsidRPr="00FB3A4B">
        <w:rPr>
          <w:rFonts w:ascii="Times New Roman" w:hAnsi="Times New Roman"/>
          <w:szCs w:val="24"/>
          <w:lang w:val="es-CL" w:eastAsia="es-CL"/>
        </w:rPr>
        <w:t xml:space="preserve"> </w:t>
      </w:r>
      <w:r w:rsidRPr="00FB3A4B">
        <w:rPr>
          <w:rFonts w:ascii="Times New Roman" w:hAnsi="Times New Roman"/>
          <w:szCs w:val="24"/>
          <w:lang w:val="es-CL" w:eastAsia="es-CL"/>
        </w:rPr>
        <w:lastRenderedPageBreak/>
        <w:t>(LCOH) y medido en UF/kWh térmico</w:t>
      </w:r>
      <w:r w:rsidR="00912B72">
        <w:rPr>
          <w:rFonts w:ascii="Times New Roman" w:hAnsi="Times New Roman"/>
          <w:szCs w:val="24"/>
          <w:lang w:val="es-CL" w:eastAsia="es-CL"/>
        </w:rPr>
        <w:t xml:space="preserve"> (la UF permite mantener el valor real a lo largo del tiempo)</w:t>
      </w:r>
      <w:r w:rsidRPr="00FB3A4B">
        <w:rPr>
          <w:rFonts w:ascii="Times New Roman" w:hAnsi="Times New Roman"/>
          <w:szCs w:val="24"/>
          <w:lang w:val="es-CL" w:eastAsia="es-CL"/>
        </w:rPr>
        <w:t>. Este parámetro unifica las tarifas comerciales chilenas, los poderes caloríficos y las eficiencias de los sistemas bajo una base común. Las soluciones óptimas para la vivienda de interés social corresponderán estrictamente a aquellas configuraciones que minimicen este costo nivelado.</w:t>
      </w:r>
    </w:p>
    <w:p w14:paraId="4657B527" w14:textId="2DCD6226" w:rsidR="00582C75" w:rsidRDefault="00582C75" w:rsidP="00B62BFF">
      <w:pPr>
        <w:rPr>
          <w:rFonts w:ascii="Times New Roman" w:hAnsi="Times New Roman"/>
          <w:szCs w:val="24"/>
          <w:lang w:val="es-CL" w:eastAsia="es-CL"/>
        </w:rPr>
      </w:pPr>
    </w:p>
    <w:p w14:paraId="3B3B227F" w14:textId="66A7420B" w:rsidR="00582C75" w:rsidRDefault="00582C75" w:rsidP="00B62BFF">
      <w:pPr>
        <w:rPr>
          <w:rFonts w:ascii="Times New Roman" w:hAnsi="Times New Roman"/>
          <w:szCs w:val="24"/>
          <w:lang w:val="es-CL" w:eastAsia="es-CL"/>
        </w:rPr>
      </w:pPr>
    </w:p>
    <w:p w14:paraId="399D8D04" w14:textId="6C37B74E" w:rsidR="00582C75" w:rsidRDefault="00582C75" w:rsidP="00B62BFF">
      <w:pPr>
        <w:rPr>
          <w:rFonts w:ascii="Times New Roman" w:hAnsi="Times New Roman"/>
          <w:szCs w:val="24"/>
          <w:lang w:val="es-CL" w:eastAsia="es-CL"/>
        </w:rPr>
      </w:pPr>
    </w:p>
    <w:p w14:paraId="308017E9" w14:textId="3D2200C3" w:rsidR="00582C75" w:rsidRDefault="00582C75" w:rsidP="00B62BFF">
      <w:pPr>
        <w:rPr>
          <w:rFonts w:ascii="Times New Roman" w:hAnsi="Times New Roman"/>
          <w:szCs w:val="24"/>
          <w:lang w:val="es-CL" w:eastAsia="es-CL"/>
        </w:rPr>
      </w:pPr>
    </w:p>
    <w:p w14:paraId="5C841EBE" w14:textId="539C3A0F" w:rsidR="00582C75" w:rsidRDefault="00582C75" w:rsidP="00B62BFF">
      <w:pPr>
        <w:rPr>
          <w:rFonts w:ascii="Times New Roman" w:hAnsi="Times New Roman"/>
          <w:szCs w:val="24"/>
          <w:lang w:val="es-CL" w:eastAsia="es-CL"/>
        </w:rPr>
      </w:pPr>
    </w:p>
    <w:p w14:paraId="2B6C45E4" w14:textId="73C1F9A4" w:rsidR="00582C75" w:rsidRDefault="00582C75" w:rsidP="00B62BFF">
      <w:pPr>
        <w:rPr>
          <w:rFonts w:ascii="Times New Roman" w:hAnsi="Times New Roman"/>
          <w:szCs w:val="24"/>
          <w:lang w:val="es-CL" w:eastAsia="es-CL"/>
        </w:rPr>
      </w:pPr>
    </w:p>
    <w:p w14:paraId="73930328" w14:textId="69ED1C06" w:rsidR="00582C75" w:rsidRDefault="00582C75" w:rsidP="00B62BFF">
      <w:pPr>
        <w:rPr>
          <w:rFonts w:ascii="Times New Roman" w:hAnsi="Times New Roman"/>
          <w:szCs w:val="24"/>
          <w:lang w:val="es-CL" w:eastAsia="es-CL"/>
        </w:rPr>
      </w:pPr>
    </w:p>
    <w:p w14:paraId="4859142E" w14:textId="1C68082C" w:rsidR="00582C75" w:rsidRDefault="00582C75" w:rsidP="00B62BFF">
      <w:pPr>
        <w:rPr>
          <w:rFonts w:ascii="Times New Roman" w:hAnsi="Times New Roman"/>
          <w:szCs w:val="24"/>
          <w:lang w:val="es-CL" w:eastAsia="es-CL"/>
        </w:rPr>
      </w:pPr>
    </w:p>
    <w:p w14:paraId="5E0E4332" w14:textId="6434AC61" w:rsidR="00582C75" w:rsidRDefault="00582C75" w:rsidP="00B62BFF">
      <w:pPr>
        <w:rPr>
          <w:rFonts w:ascii="Times New Roman" w:hAnsi="Times New Roman"/>
          <w:szCs w:val="24"/>
          <w:lang w:val="es-CL" w:eastAsia="es-CL"/>
        </w:rPr>
      </w:pPr>
    </w:p>
    <w:p w14:paraId="53C5EF90" w14:textId="6B84377C" w:rsidR="00582C75" w:rsidRDefault="00582C75" w:rsidP="00B62BFF">
      <w:pPr>
        <w:rPr>
          <w:rFonts w:ascii="Times New Roman" w:hAnsi="Times New Roman"/>
          <w:szCs w:val="24"/>
          <w:lang w:val="es-CL" w:eastAsia="es-CL"/>
        </w:rPr>
      </w:pPr>
    </w:p>
    <w:p w14:paraId="4A517786" w14:textId="326323AD" w:rsidR="00582C75" w:rsidRDefault="00582C75" w:rsidP="00B62BFF">
      <w:pPr>
        <w:rPr>
          <w:rFonts w:ascii="Times New Roman" w:hAnsi="Times New Roman"/>
          <w:szCs w:val="24"/>
          <w:lang w:val="es-CL" w:eastAsia="es-CL"/>
        </w:rPr>
      </w:pPr>
    </w:p>
    <w:p w14:paraId="205C6F14" w14:textId="151E13D5" w:rsidR="00582C75" w:rsidRDefault="00582C75" w:rsidP="00B62BFF">
      <w:pPr>
        <w:rPr>
          <w:rFonts w:ascii="Times New Roman" w:hAnsi="Times New Roman"/>
          <w:szCs w:val="24"/>
          <w:lang w:val="es-CL" w:eastAsia="es-CL"/>
        </w:rPr>
      </w:pPr>
    </w:p>
    <w:p w14:paraId="3DEB8362" w14:textId="0F1C1880" w:rsidR="00582C75" w:rsidRDefault="00582C75" w:rsidP="00B62BFF">
      <w:pPr>
        <w:rPr>
          <w:rFonts w:ascii="Times New Roman" w:hAnsi="Times New Roman"/>
          <w:szCs w:val="24"/>
          <w:lang w:val="es-CL" w:eastAsia="es-CL"/>
        </w:rPr>
      </w:pPr>
    </w:p>
    <w:p w14:paraId="43E4AE6E" w14:textId="37049A30" w:rsidR="00582C75" w:rsidRDefault="00582C75" w:rsidP="00B62BFF">
      <w:pPr>
        <w:rPr>
          <w:rFonts w:ascii="Times New Roman" w:hAnsi="Times New Roman"/>
          <w:szCs w:val="24"/>
          <w:lang w:val="es-CL" w:eastAsia="es-CL"/>
        </w:rPr>
      </w:pPr>
    </w:p>
    <w:p w14:paraId="469BF050" w14:textId="675F14D6" w:rsidR="00582C75" w:rsidRDefault="00582C75" w:rsidP="00B62BFF">
      <w:pPr>
        <w:rPr>
          <w:rFonts w:ascii="Times New Roman" w:hAnsi="Times New Roman"/>
          <w:szCs w:val="24"/>
          <w:lang w:val="es-CL" w:eastAsia="es-CL"/>
        </w:rPr>
      </w:pPr>
    </w:p>
    <w:p w14:paraId="45AF4589" w14:textId="700B72E8" w:rsidR="00582C75" w:rsidRDefault="00582C75" w:rsidP="00B62BFF">
      <w:pPr>
        <w:rPr>
          <w:rFonts w:ascii="Times New Roman" w:hAnsi="Times New Roman"/>
          <w:szCs w:val="24"/>
          <w:lang w:val="es-CL" w:eastAsia="es-CL"/>
        </w:rPr>
      </w:pPr>
    </w:p>
    <w:p w14:paraId="02441BD5" w14:textId="09EC5D13" w:rsidR="00582C75" w:rsidRDefault="00582C75" w:rsidP="00B62BFF">
      <w:pPr>
        <w:rPr>
          <w:rFonts w:ascii="Times New Roman" w:hAnsi="Times New Roman"/>
          <w:szCs w:val="24"/>
          <w:lang w:val="es-CL" w:eastAsia="es-CL"/>
        </w:rPr>
      </w:pPr>
    </w:p>
    <w:p w14:paraId="0371A0C8" w14:textId="77777777" w:rsidR="00582C75" w:rsidRDefault="00582C75" w:rsidP="00B62BFF">
      <w:pPr>
        <w:rPr>
          <w:rFonts w:ascii="Times New Roman" w:hAnsi="Times New Roman"/>
          <w:szCs w:val="24"/>
          <w:lang w:val="es-CL" w:eastAsia="es-CL"/>
        </w:rPr>
      </w:pPr>
    </w:p>
    <w:p w14:paraId="64428199" w14:textId="12314E6A" w:rsidR="00B62BFF" w:rsidRPr="00B62BFF" w:rsidRDefault="00537F46" w:rsidP="00B62BFF">
      <w:pPr>
        <w:pStyle w:val="Estilo1"/>
      </w:pPr>
      <w:r>
        <w:lastRenderedPageBreak/>
        <w:t xml:space="preserve"> </w:t>
      </w:r>
      <w:r w:rsidRPr="00537F46">
        <w:t xml:space="preserve">Caracterización de fuentes de energía </w:t>
      </w:r>
    </w:p>
    <w:p w14:paraId="63C3A3FB" w14:textId="77777777" w:rsidR="00537F46" w:rsidRDefault="00537F46" w:rsidP="00B62BFF">
      <w:pPr>
        <w:rPr>
          <w:rFonts w:ascii="Times New Roman" w:hAnsi="Times New Roman"/>
          <w:szCs w:val="24"/>
          <w:lang w:val="es-CL" w:eastAsia="es-CL"/>
        </w:rPr>
      </w:pPr>
      <w:r w:rsidRPr="00537F46">
        <w:rPr>
          <w:rFonts w:ascii="Times New Roman" w:hAnsi="Times New Roman"/>
          <w:szCs w:val="24"/>
          <w:lang w:val="es-CL" w:eastAsia="es-CL"/>
        </w:rPr>
        <w:t>Las fuentes de energía empleadas por los sistemas de calefacción residencial corresponden a electricidad, kerosene, gas licuado de petróleo (GLP), gas natural (GN) y biomasa (leña y pellet). La principal característica de estos recursos corresponde a su poder calorífico, el cual define la densidad energética disponible para el sistema.</w:t>
      </w:r>
    </w:p>
    <w:p w14:paraId="53F3A6B9" w14:textId="3126047D" w:rsidR="007A32C8" w:rsidRDefault="00537F46" w:rsidP="00B62BFF">
      <w:pPr>
        <w:rPr>
          <w:rFonts w:ascii="Times New Roman" w:hAnsi="Times New Roman"/>
          <w:szCs w:val="24"/>
          <w:lang w:val="es-CL" w:eastAsia="es-CL"/>
        </w:rPr>
      </w:pPr>
      <w:r w:rsidRPr="00537F46">
        <w:rPr>
          <w:rFonts w:ascii="Times New Roman" w:hAnsi="Times New Roman"/>
          <w:szCs w:val="24"/>
          <w:lang w:val="es-CL" w:eastAsia="es-CL"/>
        </w:rPr>
        <w:t>Debido a que los combustibles al quemarse producen vapor de agua, existen dos límites para su cuantificación energética. Por un lado, el Poder Calorífico Inferior (PCI) determina el calor liberado asumiendo que el agua producto del proceso de combustión permanece estrictamente en fase de vapor, sin recuperar el calor latente implicado. Por otro lado, el Poder Calorífico Superior (PCS) incorpora la cantidad total de calor disponible al inducir el cambio de fase del vapor de agua hacia estado líquido mediante la condensación en equipos tecnológicos especializados.</w:t>
      </w:r>
      <w:r w:rsidR="00582C75">
        <w:rPr>
          <w:rFonts w:ascii="Times New Roman" w:hAnsi="Times New Roman"/>
          <w:szCs w:val="24"/>
          <w:lang w:val="es-CL" w:eastAsia="es-CL"/>
        </w:rPr>
        <w:t xml:space="preserve"> E</w:t>
      </w:r>
      <w:r w:rsidR="00A461EB" w:rsidRPr="00A461EB">
        <w:rPr>
          <w:rFonts w:ascii="Times New Roman" w:hAnsi="Times New Roman"/>
          <w:szCs w:val="24"/>
          <w:lang w:val="es-CL" w:eastAsia="es-CL"/>
        </w:rPr>
        <w:t>n el caso particular de la electricidad, al no corresponder a un proceso de combustión, la fuente se encuentra exenta de parámetros de PCS o PCI, integrándose al balance de flujos energéticos directamente en su equivalente térmico.</w:t>
      </w:r>
    </w:p>
    <w:p w14:paraId="4F725370" w14:textId="4243132F" w:rsidR="00DC7069" w:rsidRDefault="00CE595E" w:rsidP="00582C75">
      <w:pPr>
        <w:rPr>
          <w:rFonts w:ascii="Times New Roman" w:hAnsi="Times New Roman"/>
          <w:szCs w:val="24"/>
          <w:lang w:val="es-CL" w:eastAsia="es-CL"/>
        </w:rPr>
      </w:pPr>
      <w:r w:rsidRPr="00CE595E">
        <w:rPr>
          <w:rFonts w:ascii="Times New Roman" w:hAnsi="Times New Roman"/>
          <w:szCs w:val="24"/>
          <w:lang w:val="es-CL" w:eastAsia="es-CL"/>
        </w:rPr>
        <w:t xml:space="preserve">Con el propósito de garantizar la consistencia dimensional con la demanda térmica residencial calculada, los valores de PCS y PCI se tabulan a partir del Balance Nacional de Energía y documentos de referencia, cuyo detalle de </w:t>
      </w:r>
      <w:r>
        <w:rPr>
          <w:rFonts w:ascii="Times New Roman" w:hAnsi="Times New Roman"/>
          <w:szCs w:val="24"/>
          <w:lang w:val="es-CL" w:eastAsia="es-CL"/>
        </w:rPr>
        <w:t xml:space="preserve">conversión </w:t>
      </w:r>
      <w:r w:rsidRPr="00CE595E">
        <w:rPr>
          <w:rFonts w:ascii="Times New Roman" w:hAnsi="Times New Roman"/>
          <w:szCs w:val="24"/>
          <w:lang w:val="es-CL" w:eastAsia="es-CL"/>
        </w:rPr>
        <w:t>de unidades se desglosa en el Anexo XX. La Tabla 1.1 consolida los valores para cada fuente energética</w:t>
      </w:r>
      <w:r>
        <w:rPr>
          <w:rFonts w:ascii="Times New Roman" w:hAnsi="Times New Roman"/>
          <w:szCs w:val="24"/>
          <w:lang w:val="es-CL" w:eastAsia="es-CL"/>
        </w:rPr>
        <w:t xml:space="preserve"> normalizada </w:t>
      </w:r>
      <w:r w:rsidR="002A118F">
        <w:rPr>
          <w:rFonts w:ascii="Times New Roman" w:hAnsi="Times New Roman"/>
          <w:szCs w:val="24"/>
          <w:lang w:val="es-CL" w:eastAsia="es-CL"/>
        </w:rPr>
        <w:t>a la razón entre kWh y su unidad de medida comercializada:</w:t>
      </w:r>
    </w:p>
    <w:tbl>
      <w:tblPr>
        <w:tblStyle w:val="Tablaconcuadrcula"/>
        <w:tblpPr w:leftFromText="141" w:rightFromText="141" w:vertAnchor="text" w:horzAnchor="margin" w:tblpXSpec="center" w:tblpY="233"/>
        <w:tblW w:w="7805" w:type="dxa"/>
        <w:tblLook w:val="04A0" w:firstRow="1" w:lastRow="0" w:firstColumn="1" w:lastColumn="0" w:noHBand="0" w:noVBand="1"/>
      </w:tblPr>
      <w:tblGrid>
        <w:gridCol w:w="1430"/>
        <w:gridCol w:w="2544"/>
        <w:gridCol w:w="1915"/>
        <w:gridCol w:w="1916"/>
      </w:tblGrid>
      <w:tr w:rsidR="00DC7069" w:rsidRPr="00DC7069" w14:paraId="512AB6C9" w14:textId="77777777" w:rsidTr="00582C75">
        <w:trPr>
          <w:trHeight w:val="251"/>
        </w:trPr>
        <w:tc>
          <w:tcPr>
            <w:tcW w:w="1430" w:type="dxa"/>
            <w:tcBorders>
              <w:bottom w:val="double" w:sz="4" w:space="0" w:color="auto"/>
            </w:tcBorders>
            <w:noWrap/>
            <w:hideMark/>
          </w:tcPr>
          <w:p w14:paraId="68B676E7" w14:textId="77777777" w:rsidR="00DC7069" w:rsidRPr="00DC7069" w:rsidRDefault="00DC7069" w:rsidP="00DC7069">
            <w:pPr>
              <w:spacing w:after="0" w:line="240" w:lineRule="auto"/>
              <w:jc w:val="left"/>
              <w:rPr>
                <w:rFonts w:ascii="Times New Roman" w:hAnsi="Times New Roman"/>
                <w:b/>
                <w:bCs/>
                <w:color w:val="000000"/>
                <w:sz w:val="20"/>
                <w:szCs w:val="20"/>
                <w:lang w:val="es-CL" w:eastAsia="es-CL"/>
              </w:rPr>
            </w:pPr>
            <w:r w:rsidRPr="00DC7069">
              <w:rPr>
                <w:rFonts w:ascii="Times New Roman" w:hAnsi="Times New Roman"/>
                <w:b/>
                <w:bCs/>
                <w:color w:val="000000"/>
                <w:sz w:val="20"/>
                <w:szCs w:val="20"/>
                <w:lang w:val="es-CL" w:eastAsia="es-CL"/>
              </w:rPr>
              <w:t>Fuente energética</w:t>
            </w:r>
          </w:p>
        </w:tc>
        <w:tc>
          <w:tcPr>
            <w:tcW w:w="2544" w:type="dxa"/>
            <w:tcBorders>
              <w:bottom w:val="double" w:sz="4" w:space="0" w:color="auto"/>
            </w:tcBorders>
            <w:noWrap/>
            <w:hideMark/>
          </w:tcPr>
          <w:p w14:paraId="3AFC5B14" w14:textId="77777777" w:rsidR="00DC7069" w:rsidRPr="00DC7069" w:rsidRDefault="00DC7069" w:rsidP="004A56D9">
            <w:pPr>
              <w:spacing w:after="0" w:line="240" w:lineRule="auto"/>
              <w:jc w:val="center"/>
              <w:rPr>
                <w:rFonts w:ascii="Times New Roman" w:hAnsi="Times New Roman"/>
                <w:b/>
                <w:bCs/>
                <w:color w:val="000000"/>
                <w:sz w:val="20"/>
                <w:szCs w:val="20"/>
                <w:lang w:val="es-CL" w:eastAsia="es-CL"/>
              </w:rPr>
            </w:pPr>
            <w:r w:rsidRPr="00DC7069">
              <w:rPr>
                <w:rFonts w:ascii="Times New Roman" w:hAnsi="Times New Roman"/>
                <w:b/>
                <w:bCs/>
                <w:color w:val="000000"/>
                <w:sz w:val="20"/>
                <w:szCs w:val="20"/>
                <w:lang w:val="es-CL" w:eastAsia="es-CL"/>
              </w:rPr>
              <w:t>Unidad de medida (comercial)</w:t>
            </w:r>
          </w:p>
        </w:tc>
        <w:tc>
          <w:tcPr>
            <w:tcW w:w="1915" w:type="dxa"/>
            <w:tcBorders>
              <w:bottom w:val="double" w:sz="4" w:space="0" w:color="auto"/>
            </w:tcBorders>
            <w:noWrap/>
            <w:hideMark/>
          </w:tcPr>
          <w:p w14:paraId="7E3EDBF6" w14:textId="77777777" w:rsidR="00DC7069" w:rsidRPr="00DC7069" w:rsidRDefault="00DC7069" w:rsidP="004A56D9">
            <w:pPr>
              <w:spacing w:after="0" w:line="240" w:lineRule="auto"/>
              <w:jc w:val="center"/>
              <w:rPr>
                <w:rFonts w:ascii="Times New Roman" w:hAnsi="Times New Roman"/>
                <w:b/>
                <w:bCs/>
                <w:color w:val="000000"/>
                <w:sz w:val="20"/>
                <w:szCs w:val="20"/>
                <w:lang w:val="es-CL" w:eastAsia="es-CL"/>
              </w:rPr>
            </w:pPr>
            <w:r w:rsidRPr="00DC7069">
              <w:rPr>
                <w:rFonts w:ascii="Times New Roman" w:hAnsi="Times New Roman"/>
                <w:b/>
                <w:bCs/>
                <w:color w:val="000000"/>
                <w:sz w:val="20"/>
                <w:szCs w:val="20"/>
                <w:lang w:val="es-CL" w:eastAsia="es-CL"/>
              </w:rPr>
              <w:t>Poder Calorífico Inferior (PCI)</w:t>
            </w:r>
          </w:p>
        </w:tc>
        <w:tc>
          <w:tcPr>
            <w:tcW w:w="1916" w:type="dxa"/>
            <w:tcBorders>
              <w:bottom w:val="double" w:sz="4" w:space="0" w:color="auto"/>
            </w:tcBorders>
            <w:noWrap/>
            <w:hideMark/>
          </w:tcPr>
          <w:p w14:paraId="4C897A6E" w14:textId="77777777" w:rsidR="00DC7069" w:rsidRPr="00DC7069" w:rsidRDefault="00DC7069" w:rsidP="004A56D9">
            <w:pPr>
              <w:spacing w:after="0" w:line="240" w:lineRule="auto"/>
              <w:jc w:val="center"/>
              <w:rPr>
                <w:rFonts w:ascii="Times New Roman" w:hAnsi="Times New Roman"/>
                <w:b/>
                <w:bCs/>
                <w:color w:val="000000"/>
                <w:sz w:val="20"/>
                <w:szCs w:val="20"/>
                <w:lang w:val="es-CL" w:eastAsia="es-CL"/>
              </w:rPr>
            </w:pPr>
            <w:r w:rsidRPr="00DC7069">
              <w:rPr>
                <w:rFonts w:ascii="Times New Roman" w:hAnsi="Times New Roman"/>
                <w:b/>
                <w:bCs/>
                <w:color w:val="000000"/>
                <w:sz w:val="20"/>
                <w:szCs w:val="20"/>
                <w:lang w:val="es-CL" w:eastAsia="es-CL"/>
              </w:rPr>
              <w:t>Poder Calorífico Superior (PCS)</w:t>
            </w:r>
          </w:p>
        </w:tc>
      </w:tr>
      <w:tr w:rsidR="00DC7069" w:rsidRPr="00DC7069" w14:paraId="6D9488F7" w14:textId="77777777" w:rsidTr="00582C75">
        <w:trPr>
          <w:trHeight w:val="136"/>
        </w:trPr>
        <w:tc>
          <w:tcPr>
            <w:tcW w:w="1430" w:type="dxa"/>
            <w:tcBorders>
              <w:top w:val="double" w:sz="4" w:space="0" w:color="auto"/>
            </w:tcBorders>
            <w:noWrap/>
            <w:hideMark/>
          </w:tcPr>
          <w:p w14:paraId="6EB31B47" w14:textId="77777777" w:rsidR="00DC7069" w:rsidRPr="00DC7069" w:rsidRDefault="00DC7069" w:rsidP="00DC7069">
            <w:pPr>
              <w:spacing w:after="0" w:line="240" w:lineRule="auto"/>
              <w:jc w:val="left"/>
              <w:rPr>
                <w:rFonts w:ascii="Times New Roman" w:hAnsi="Times New Roman"/>
                <w:color w:val="000000"/>
                <w:sz w:val="20"/>
                <w:szCs w:val="20"/>
                <w:lang w:val="es-CL" w:eastAsia="es-CL"/>
              </w:rPr>
            </w:pPr>
            <w:r w:rsidRPr="00DC7069">
              <w:rPr>
                <w:rFonts w:ascii="Times New Roman" w:hAnsi="Times New Roman"/>
                <w:color w:val="000000"/>
                <w:sz w:val="20"/>
                <w:szCs w:val="20"/>
                <w:lang w:val="es-CL" w:eastAsia="es-CL"/>
              </w:rPr>
              <w:t>Electricidad</w:t>
            </w:r>
          </w:p>
        </w:tc>
        <w:tc>
          <w:tcPr>
            <w:tcW w:w="2544" w:type="dxa"/>
            <w:tcBorders>
              <w:top w:val="double" w:sz="4" w:space="0" w:color="auto"/>
            </w:tcBorders>
            <w:noWrap/>
            <w:hideMark/>
          </w:tcPr>
          <w:p w14:paraId="682A5FF6" w14:textId="77777777" w:rsidR="00DC7069" w:rsidRPr="00DC7069" w:rsidRDefault="00DC7069" w:rsidP="004A56D9">
            <w:pPr>
              <w:spacing w:after="0" w:line="240" w:lineRule="auto"/>
              <w:jc w:val="center"/>
              <w:rPr>
                <w:rFonts w:ascii="Times New Roman" w:hAnsi="Times New Roman"/>
                <w:color w:val="000000"/>
                <w:sz w:val="20"/>
                <w:szCs w:val="20"/>
                <w:lang w:val="es-CL" w:eastAsia="es-CL"/>
              </w:rPr>
            </w:pPr>
            <w:r w:rsidRPr="00DC7069">
              <w:rPr>
                <w:rFonts w:ascii="Times New Roman" w:hAnsi="Times New Roman"/>
                <w:color w:val="000000"/>
                <w:sz w:val="20"/>
                <w:szCs w:val="20"/>
                <w:lang w:val="es-CL" w:eastAsia="es-CL"/>
              </w:rPr>
              <w:t>kWh</w:t>
            </w:r>
          </w:p>
        </w:tc>
        <w:tc>
          <w:tcPr>
            <w:tcW w:w="1915" w:type="dxa"/>
            <w:tcBorders>
              <w:top w:val="double" w:sz="4" w:space="0" w:color="auto"/>
            </w:tcBorders>
            <w:noWrap/>
          </w:tcPr>
          <w:p w14:paraId="3CB0533C" w14:textId="2B6168C0" w:rsidR="00DC7069" w:rsidRPr="00DC7069" w:rsidRDefault="00DC7069" w:rsidP="004A56D9">
            <w:pPr>
              <w:spacing w:after="0" w:line="240" w:lineRule="auto"/>
              <w:jc w:val="center"/>
              <w:rPr>
                <w:rFonts w:ascii="Times New Roman" w:hAnsi="Times New Roman"/>
                <w:color w:val="000000"/>
                <w:sz w:val="20"/>
                <w:szCs w:val="20"/>
                <w:lang w:val="es-CL" w:eastAsia="es-CL"/>
              </w:rPr>
            </w:pPr>
            <w:r>
              <w:rPr>
                <w:rFonts w:ascii="Times New Roman" w:hAnsi="Times New Roman"/>
                <w:color w:val="000000"/>
                <w:sz w:val="20"/>
                <w:szCs w:val="20"/>
                <w:lang w:val="es-CL" w:eastAsia="es-CL"/>
              </w:rPr>
              <w:t>-</w:t>
            </w:r>
          </w:p>
        </w:tc>
        <w:tc>
          <w:tcPr>
            <w:tcW w:w="1916" w:type="dxa"/>
            <w:tcBorders>
              <w:top w:val="double" w:sz="4" w:space="0" w:color="auto"/>
            </w:tcBorders>
            <w:noWrap/>
          </w:tcPr>
          <w:p w14:paraId="5375E9BB" w14:textId="52FC680A" w:rsidR="00DC7069" w:rsidRPr="00DC7069" w:rsidRDefault="00DC7069" w:rsidP="004A56D9">
            <w:pPr>
              <w:spacing w:after="0" w:line="240" w:lineRule="auto"/>
              <w:jc w:val="center"/>
              <w:rPr>
                <w:rFonts w:ascii="Times New Roman" w:hAnsi="Times New Roman"/>
                <w:color w:val="000000"/>
                <w:sz w:val="20"/>
                <w:szCs w:val="20"/>
                <w:lang w:val="es-CL" w:eastAsia="es-CL"/>
              </w:rPr>
            </w:pPr>
            <w:r>
              <w:rPr>
                <w:rFonts w:ascii="Times New Roman" w:hAnsi="Times New Roman"/>
                <w:color w:val="000000"/>
                <w:sz w:val="20"/>
                <w:szCs w:val="20"/>
                <w:lang w:val="es-CL" w:eastAsia="es-CL"/>
              </w:rPr>
              <w:t>-</w:t>
            </w:r>
          </w:p>
        </w:tc>
      </w:tr>
      <w:tr w:rsidR="00DC7069" w:rsidRPr="00DC7069" w14:paraId="312DF584" w14:textId="77777777" w:rsidTr="00582C75">
        <w:trPr>
          <w:trHeight w:val="136"/>
        </w:trPr>
        <w:tc>
          <w:tcPr>
            <w:tcW w:w="1430" w:type="dxa"/>
            <w:noWrap/>
            <w:hideMark/>
          </w:tcPr>
          <w:p w14:paraId="76576A5B" w14:textId="77777777" w:rsidR="00DC7069" w:rsidRPr="00DC7069" w:rsidRDefault="00DC7069" w:rsidP="00DC7069">
            <w:pPr>
              <w:spacing w:after="0" w:line="240" w:lineRule="auto"/>
              <w:jc w:val="left"/>
              <w:rPr>
                <w:rFonts w:ascii="Times New Roman" w:hAnsi="Times New Roman"/>
                <w:color w:val="000000"/>
                <w:sz w:val="20"/>
                <w:szCs w:val="20"/>
                <w:lang w:val="es-CL" w:eastAsia="es-CL"/>
              </w:rPr>
            </w:pPr>
            <w:r w:rsidRPr="00DC7069">
              <w:rPr>
                <w:rFonts w:ascii="Times New Roman" w:hAnsi="Times New Roman"/>
                <w:color w:val="000000"/>
                <w:sz w:val="20"/>
                <w:szCs w:val="20"/>
                <w:lang w:val="es-CL" w:eastAsia="es-CL"/>
              </w:rPr>
              <w:t>Kerosene</w:t>
            </w:r>
          </w:p>
        </w:tc>
        <w:tc>
          <w:tcPr>
            <w:tcW w:w="2544" w:type="dxa"/>
            <w:noWrap/>
            <w:hideMark/>
          </w:tcPr>
          <w:p w14:paraId="1298245D" w14:textId="77777777" w:rsidR="00DC7069" w:rsidRPr="00DC7069" w:rsidRDefault="00DC7069" w:rsidP="004A56D9">
            <w:pPr>
              <w:spacing w:after="0" w:line="240" w:lineRule="auto"/>
              <w:jc w:val="center"/>
              <w:rPr>
                <w:rFonts w:ascii="Times New Roman" w:hAnsi="Times New Roman"/>
                <w:color w:val="000000"/>
                <w:sz w:val="20"/>
                <w:szCs w:val="20"/>
                <w:lang w:val="es-CL" w:eastAsia="es-CL"/>
              </w:rPr>
            </w:pPr>
            <w:r w:rsidRPr="00DC7069">
              <w:rPr>
                <w:rFonts w:ascii="Times New Roman" w:hAnsi="Times New Roman"/>
                <w:color w:val="000000"/>
                <w:sz w:val="20"/>
                <w:szCs w:val="20"/>
                <w:lang w:val="es-CL" w:eastAsia="es-CL"/>
              </w:rPr>
              <w:t>Litro (L)</w:t>
            </w:r>
          </w:p>
        </w:tc>
        <w:tc>
          <w:tcPr>
            <w:tcW w:w="1915" w:type="dxa"/>
            <w:noWrap/>
            <w:hideMark/>
          </w:tcPr>
          <w:p w14:paraId="71B7CEA3" w14:textId="77777777" w:rsidR="00DC7069" w:rsidRPr="00DC7069" w:rsidRDefault="00DC7069" w:rsidP="004A56D9">
            <w:pPr>
              <w:spacing w:after="0" w:line="240" w:lineRule="auto"/>
              <w:jc w:val="center"/>
              <w:rPr>
                <w:rFonts w:ascii="Times New Roman" w:hAnsi="Times New Roman"/>
                <w:color w:val="000000"/>
                <w:sz w:val="20"/>
                <w:szCs w:val="20"/>
                <w:lang w:val="es-CL" w:eastAsia="es-CL"/>
              </w:rPr>
            </w:pPr>
            <w:r w:rsidRPr="00DC7069">
              <w:rPr>
                <w:rFonts w:ascii="Times New Roman" w:hAnsi="Times New Roman"/>
                <w:color w:val="000000"/>
                <w:sz w:val="20"/>
                <w:szCs w:val="20"/>
                <w:lang w:val="es-CL" w:eastAsia="es-CL"/>
              </w:rPr>
              <w:t>9,93</w:t>
            </w:r>
          </w:p>
        </w:tc>
        <w:tc>
          <w:tcPr>
            <w:tcW w:w="1916" w:type="dxa"/>
            <w:noWrap/>
            <w:hideMark/>
          </w:tcPr>
          <w:p w14:paraId="337F2EAA" w14:textId="77777777" w:rsidR="00DC7069" w:rsidRPr="00DC7069" w:rsidRDefault="00DC7069" w:rsidP="004A56D9">
            <w:pPr>
              <w:spacing w:after="0" w:line="240" w:lineRule="auto"/>
              <w:jc w:val="center"/>
              <w:rPr>
                <w:rFonts w:ascii="Times New Roman" w:hAnsi="Times New Roman"/>
                <w:color w:val="000000"/>
                <w:sz w:val="20"/>
                <w:szCs w:val="20"/>
                <w:lang w:val="es-CL" w:eastAsia="es-CL"/>
              </w:rPr>
            </w:pPr>
            <w:r w:rsidRPr="00DC7069">
              <w:rPr>
                <w:rFonts w:ascii="Times New Roman" w:hAnsi="Times New Roman"/>
                <w:color w:val="000000"/>
                <w:sz w:val="20"/>
                <w:szCs w:val="20"/>
                <w:lang w:val="es-CL" w:eastAsia="es-CL"/>
              </w:rPr>
              <w:t>10,45</w:t>
            </w:r>
          </w:p>
        </w:tc>
      </w:tr>
      <w:tr w:rsidR="00DC7069" w:rsidRPr="00DC7069" w14:paraId="47F728B9" w14:textId="77777777" w:rsidTr="00582C75">
        <w:trPr>
          <w:trHeight w:val="136"/>
        </w:trPr>
        <w:tc>
          <w:tcPr>
            <w:tcW w:w="1430" w:type="dxa"/>
            <w:noWrap/>
            <w:hideMark/>
          </w:tcPr>
          <w:p w14:paraId="4B30A6EA" w14:textId="77777777" w:rsidR="00DC7069" w:rsidRPr="00DC7069" w:rsidRDefault="00DC7069" w:rsidP="00DC7069">
            <w:pPr>
              <w:spacing w:after="0" w:line="240" w:lineRule="auto"/>
              <w:jc w:val="left"/>
              <w:rPr>
                <w:rFonts w:ascii="Times New Roman" w:hAnsi="Times New Roman"/>
                <w:color w:val="000000"/>
                <w:sz w:val="20"/>
                <w:szCs w:val="20"/>
                <w:lang w:val="es-CL" w:eastAsia="es-CL"/>
              </w:rPr>
            </w:pPr>
            <w:r w:rsidRPr="00DC7069">
              <w:rPr>
                <w:rFonts w:ascii="Times New Roman" w:hAnsi="Times New Roman"/>
                <w:color w:val="000000"/>
                <w:sz w:val="20"/>
                <w:szCs w:val="20"/>
                <w:lang w:val="es-CL" w:eastAsia="es-CL"/>
              </w:rPr>
              <w:t>Gas Licuado (GLP)</w:t>
            </w:r>
          </w:p>
        </w:tc>
        <w:tc>
          <w:tcPr>
            <w:tcW w:w="2544" w:type="dxa"/>
            <w:noWrap/>
            <w:hideMark/>
          </w:tcPr>
          <w:p w14:paraId="2480304F" w14:textId="77777777" w:rsidR="00DC7069" w:rsidRPr="00DC7069" w:rsidRDefault="00DC7069" w:rsidP="004A56D9">
            <w:pPr>
              <w:spacing w:after="0" w:line="240" w:lineRule="auto"/>
              <w:jc w:val="center"/>
              <w:rPr>
                <w:rFonts w:ascii="Times New Roman" w:hAnsi="Times New Roman"/>
                <w:color w:val="000000"/>
                <w:sz w:val="20"/>
                <w:szCs w:val="20"/>
                <w:lang w:val="es-CL" w:eastAsia="es-CL"/>
              </w:rPr>
            </w:pPr>
            <w:r w:rsidRPr="00DC7069">
              <w:rPr>
                <w:rFonts w:ascii="Times New Roman" w:hAnsi="Times New Roman"/>
                <w:color w:val="000000"/>
                <w:sz w:val="20"/>
                <w:szCs w:val="20"/>
                <w:lang w:val="es-CL" w:eastAsia="es-CL"/>
              </w:rPr>
              <w:t>Kilogramo (kg)</w:t>
            </w:r>
          </w:p>
        </w:tc>
        <w:tc>
          <w:tcPr>
            <w:tcW w:w="1915" w:type="dxa"/>
            <w:noWrap/>
            <w:hideMark/>
          </w:tcPr>
          <w:p w14:paraId="64C9FD3F" w14:textId="77777777" w:rsidR="00DC7069" w:rsidRPr="00DC7069" w:rsidRDefault="00DC7069" w:rsidP="004A56D9">
            <w:pPr>
              <w:spacing w:after="0" w:line="240" w:lineRule="auto"/>
              <w:jc w:val="center"/>
              <w:rPr>
                <w:rFonts w:ascii="Times New Roman" w:hAnsi="Times New Roman"/>
                <w:color w:val="000000"/>
                <w:sz w:val="20"/>
                <w:szCs w:val="20"/>
                <w:lang w:val="es-CL" w:eastAsia="es-CL"/>
              </w:rPr>
            </w:pPr>
            <w:r w:rsidRPr="00DC7069">
              <w:rPr>
                <w:rFonts w:ascii="Times New Roman" w:hAnsi="Times New Roman"/>
                <w:color w:val="000000"/>
                <w:sz w:val="20"/>
                <w:szCs w:val="20"/>
                <w:lang w:val="es-CL" w:eastAsia="es-CL"/>
              </w:rPr>
              <w:t>12,66</w:t>
            </w:r>
          </w:p>
        </w:tc>
        <w:tc>
          <w:tcPr>
            <w:tcW w:w="1916" w:type="dxa"/>
            <w:noWrap/>
            <w:hideMark/>
          </w:tcPr>
          <w:p w14:paraId="34053CB8" w14:textId="77777777" w:rsidR="00DC7069" w:rsidRPr="00DC7069" w:rsidRDefault="00DC7069" w:rsidP="004A56D9">
            <w:pPr>
              <w:spacing w:after="0" w:line="240" w:lineRule="auto"/>
              <w:jc w:val="center"/>
              <w:rPr>
                <w:rFonts w:ascii="Times New Roman" w:hAnsi="Times New Roman"/>
                <w:color w:val="000000"/>
                <w:sz w:val="20"/>
                <w:szCs w:val="20"/>
                <w:lang w:val="es-CL" w:eastAsia="es-CL"/>
              </w:rPr>
            </w:pPr>
            <w:r w:rsidRPr="00DC7069">
              <w:rPr>
                <w:rFonts w:ascii="Times New Roman" w:hAnsi="Times New Roman"/>
                <w:color w:val="000000"/>
                <w:sz w:val="20"/>
                <w:szCs w:val="20"/>
                <w:lang w:val="es-CL" w:eastAsia="es-CL"/>
              </w:rPr>
              <w:t>14,07</w:t>
            </w:r>
          </w:p>
        </w:tc>
      </w:tr>
      <w:tr w:rsidR="00DC7069" w:rsidRPr="00DC7069" w14:paraId="43B847F2" w14:textId="77777777" w:rsidTr="00582C75">
        <w:trPr>
          <w:trHeight w:val="136"/>
        </w:trPr>
        <w:tc>
          <w:tcPr>
            <w:tcW w:w="1430" w:type="dxa"/>
            <w:noWrap/>
            <w:hideMark/>
          </w:tcPr>
          <w:p w14:paraId="6FE21ECA" w14:textId="77777777" w:rsidR="00DC7069" w:rsidRPr="00DC7069" w:rsidRDefault="00DC7069" w:rsidP="00DC7069">
            <w:pPr>
              <w:spacing w:after="0" w:line="240" w:lineRule="auto"/>
              <w:jc w:val="left"/>
              <w:rPr>
                <w:rFonts w:ascii="Times New Roman" w:hAnsi="Times New Roman"/>
                <w:color w:val="000000"/>
                <w:sz w:val="20"/>
                <w:szCs w:val="20"/>
                <w:lang w:val="es-CL" w:eastAsia="es-CL"/>
              </w:rPr>
            </w:pPr>
            <w:r w:rsidRPr="00DC7069">
              <w:rPr>
                <w:rFonts w:ascii="Times New Roman" w:hAnsi="Times New Roman"/>
                <w:color w:val="000000"/>
                <w:sz w:val="20"/>
                <w:szCs w:val="20"/>
                <w:lang w:val="es-CL" w:eastAsia="es-CL"/>
              </w:rPr>
              <w:t>Gas Natural (GN)</w:t>
            </w:r>
          </w:p>
        </w:tc>
        <w:tc>
          <w:tcPr>
            <w:tcW w:w="2544" w:type="dxa"/>
            <w:noWrap/>
            <w:hideMark/>
          </w:tcPr>
          <w:p w14:paraId="50C42690" w14:textId="77777777" w:rsidR="00DC7069" w:rsidRPr="00DC7069" w:rsidRDefault="00DC7069" w:rsidP="004A56D9">
            <w:pPr>
              <w:spacing w:after="0" w:line="240" w:lineRule="auto"/>
              <w:jc w:val="center"/>
              <w:rPr>
                <w:rFonts w:ascii="Times New Roman" w:hAnsi="Times New Roman"/>
                <w:color w:val="000000"/>
                <w:sz w:val="20"/>
                <w:szCs w:val="20"/>
                <w:lang w:val="es-CL" w:eastAsia="es-CL"/>
              </w:rPr>
            </w:pPr>
            <w:r w:rsidRPr="00DC7069">
              <w:rPr>
                <w:rFonts w:ascii="Times New Roman" w:hAnsi="Times New Roman"/>
                <w:color w:val="000000"/>
                <w:sz w:val="20"/>
                <w:szCs w:val="20"/>
                <w:lang w:val="es-CL" w:eastAsia="es-CL"/>
              </w:rPr>
              <w:t>Metro cúbico (m³)</w:t>
            </w:r>
          </w:p>
        </w:tc>
        <w:tc>
          <w:tcPr>
            <w:tcW w:w="1915" w:type="dxa"/>
            <w:noWrap/>
            <w:hideMark/>
          </w:tcPr>
          <w:p w14:paraId="100853D5" w14:textId="77777777" w:rsidR="00DC7069" w:rsidRPr="00DC7069" w:rsidRDefault="00DC7069" w:rsidP="004A56D9">
            <w:pPr>
              <w:spacing w:after="0" w:line="240" w:lineRule="auto"/>
              <w:jc w:val="center"/>
              <w:rPr>
                <w:rFonts w:ascii="Times New Roman" w:hAnsi="Times New Roman"/>
                <w:color w:val="000000"/>
                <w:sz w:val="20"/>
                <w:szCs w:val="20"/>
                <w:lang w:val="es-CL" w:eastAsia="es-CL"/>
              </w:rPr>
            </w:pPr>
            <w:r w:rsidRPr="00DC7069">
              <w:rPr>
                <w:rFonts w:ascii="Times New Roman" w:hAnsi="Times New Roman"/>
                <w:color w:val="000000"/>
                <w:sz w:val="20"/>
                <w:szCs w:val="20"/>
                <w:lang w:val="es-CL" w:eastAsia="es-CL"/>
              </w:rPr>
              <w:t>9,91</w:t>
            </w:r>
          </w:p>
        </w:tc>
        <w:tc>
          <w:tcPr>
            <w:tcW w:w="1916" w:type="dxa"/>
            <w:noWrap/>
            <w:hideMark/>
          </w:tcPr>
          <w:p w14:paraId="2A84CCF9" w14:textId="77777777" w:rsidR="00DC7069" w:rsidRPr="00DC7069" w:rsidRDefault="00DC7069" w:rsidP="004A56D9">
            <w:pPr>
              <w:spacing w:after="0" w:line="240" w:lineRule="auto"/>
              <w:jc w:val="center"/>
              <w:rPr>
                <w:rFonts w:ascii="Times New Roman" w:hAnsi="Times New Roman"/>
                <w:color w:val="000000"/>
                <w:sz w:val="20"/>
                <w:szCs w:val="20"/>
                <w:lang w:val="es-CL" w:eastAsia="es-CL"/>
              </w:rPr>
            </w:pPr>
            <w:r w:rsidRPr="00DC7069">
              <w:rPr>
                <w:rFonts w:ascii="Times New Roman" w:hAnsi="Times New Roman"/>
                <w:color w:val="000000"/>
                <w:sz w:val="20"/>
                <w:szCs w:val="20"/>
                <w:lang w:val="es-CL" w:eastAsia="es-CL"/>
              </w:rPr>
              <w:t>10,86</w:t>
            </w:r>
          </w:p>
        </w:tc>
      </w:tr>
      <w:tr w:rsidR="00DC7069" w:rsidRPr="00DC7069" w14:paraId="2F0C590C" w14:textId="77777777" w:rsidTr="00582C75">
        <w:trPr>
          <w:trHeight w:val="136"/>
        </w:trPr>
        <w:tc>
          <w:tcPr>
            <w:tcW w:w="1430" w:type="dxa"/>
            <w:noWrap/>
            <w:hideMark/>
          </w:tcPr>
          <w:p w14:paraId="0FACE070" w14:textId="77777777" w:rsidR="00DC7069" w:rsidRPr="00DC7069" w:rsidRDefault="00DC7069" w:rsidP="00DC7069">
            <w:pPr>
              <w:spacing w:after="0" w:line="240" w:lineRule="auto"/>
              <w:jc w:val="left"/>
              <w:rPr>
                <w:rFonts w:ascii="Times New Roman" w:hAnsi="Times New Roman"/>
                <w:color w:val="000000"/>
                <w:sz w:val="20"/>
                <w:szCs w:val="20"/>
                <w:lang w:val="es-CL" w:eastAsia="es-CL"/>
              </w:rPr>
            </w:pPr>
            <w:r w:rsidRPr="00DC7069">
              <w:rPr>
                <w:rFonts w:ascii="Times New Roman" w:hAnsi="Times New Roman"/>
                <w:color w:val="000000"/>
                <w:sz w:val="20"/>
                <w:szCs w:val="20"/>
                <w:lang w:val="es-CL" w:eastAsia="es-CL"/>
              </w:rPr>
              <w:t>Leña* (Biomasa)</w:t>
            </w:r>
          </w:p>
        </w:tc>
        <w:tc>
          <w:tcPr>
            <w:tcW w:w="2544" w:type="dxa"/>
            <w:noWrap/>
            <w:hideMark/>
          </w:tcPr>
          <w:p w14:paraId="762AF423" w14:textId="77777777" w:rsidR="00DC7069" w:rsidRPr="00DC7069" w:rsidRDefault="00DC7069" w:rsidP="004A56D9">
            <w:pPr>
              <w:spacing w:after="0" w:line="240" w:lineRule="auto"/>
              <w:jc w:val="center"/>
              <w:rPr>
                <w:rFonts w:ascii="Times New Roman" w:hAnsi="Times New Roman"/>
                <w:color w:val="000000"/>
                <w:sz w:val="20"/>
                <w:szCs w:val="20"/>
                <w:lang w:val="es-CL" w:eastAsia="es-CL"/>
              </w:rPr>
            </w:pPr>
            <w:r w:rsidRPr="00DC7069">
              <w:rPr>
                <w:rFonts w:ascii="Times New Roman" w:hAnsi="Times New Roman"/>
                <w:color w:val="000000"/>
                <w:sz w:val="20"/>
                <w:szCs w:val="20"/>
                <w:lang w:val="es-CL" w:eastAsia="es-CL"/>
              </w:rPr>
              <w:t>Kilogramo (kg)</w:t>
            </w:r>
          </w:p>
        </w:tc>
        <w:tc>
          <w:tcPr>
            <w:tcW w:w="1915" w:type="dxa"/>
            <w:noWrap/>
            <w:hideMark/>
          </w:tcPr>
          <w:p w14:paraId="68E4DF8B" w14:textId="77777777" w:rsidR="00DC7069" w:rsidRPr="00DC7069" w:rsidRDefault="00DC7069" w:rsidP="004A56D9">
            <w:pPr>
              <w:spacing w:after="0" w:line="240" w:lineRule="auto"/>
              <w:jc w:val="center"/>
              <w:rPr>
                <w:rFonts w:ascii="Times New Roman" w:hAnsi="Times New Roman"/>
                <w:color w:val="000000"/>
                <w:sz w:val="20"/>
                <w:szCs w:val="20"/>
                <w:lang w:val="es-CL" w:eastAsia="es-CL"/>
              </w:rPr>
            </w:pPr>
            <w:r w:rsidRPr="00DC7069">
              <w:rPr>
                <w:rFonts w:ascii="Times New Roman" w:hAnsi="Times New Roman"/>
                <w:color w:val="000000"/>
                <w:sz w:val="20"/>
                <w:szCs w:val="20"/>
                <w:lang w:val="es-CL" w:eastAsia="es-CL"/>
              </w:rPr>
              <w:t>3,87</w:t>
            </w:r>
          </w:p>
        </w:tc>
        <w:tc>
          <w:tcPr>
            <w:tcW w:w="1916" w:type="dxa"/>
            <w:noWrap/>
            <w:hideMark/>
          </w:tcPr>
          <w:p w14:paraId="2F60C904" w14:textId="77777777" w:rsidR="00DC7069" w:rsidRPr="00DC7069" w:rsidRDefault="00DC7069" w:rsidP="004A56D9">
            <w:pPr>
              <w:spacing w:after="0" w:line="240" w:lineRule="auto"/>
              <w:jc w:val="center"/>
              <w:rPr>
                <w:rFonts w:ascii="Times New Roman" w:hAnsi="Times New Roman"/>
                <w:color w:val="000000"/>
                <w:sz w:val="20"/>
                <w:szCs w:val="20"/>
                <w:lang w:val="es-CL" w:eastAsia="es-CL"/>
              </w:rPr>
            </w:pPr>
            <w:r w:rsidRPr="00DC7069">
              <w:rPr>
                <w:rFonts w:ascii="Times New Roman" w:hAnsi="Times New Roman"/>
                <w:color w:val="000000"/>
                <w:sz w:val="20"/>
                <w:szCs w:val="20"/>
                <w:lang w:val="es-CL" w:eastAsia="es-CL"/>
              </w:rPr>
              <w:t>4,07</w:t>
            </w:r>
          </w:p>
        </w:tc>
      </w:tr>
      <w:tr w:rsidR="00DC7069" w:rsidRPr="00DC7069" w14:paraId="73A56A73" w14:textId="77777777" w:rsidTr="00582C75">
        <w:trPr>
          <w:trHeight w:val="136"/>
        </w:trPr>
        <w:tc>
          <w:tcPr>
            <w:tcW w:w="1430" w:type="dxa"/>
            <w:noWrap/>
            <w:hideMark/>
          </w:tcPr>
          <w:p w14:paraId="07C0FCDA" w14:textId="77777777" w:rsidR="00DC7069" w:rsidRPr="00DC7069" w:rsidRDefault="00DC7069" w:rsidP="00DC7069">
            <w:pPr>
              <w:spacing w:after="0" w:line="240" w:lineRule="auto"/>
              <w:jc w:val="left"/>
              <w:rPr>
                <w:rFonts w:ascii="Times New Roman" w:hAnsi="Times New Roman"/>
                <w:color w:val="000000"/>
                <w:sz w:val="20"/>
                <w:szCs w:val="20"/>
                <w:lang w:val="es-CL" w:eastAsia="es-CL"/>
              </w:rPr>
            </w:pPr>
            <w:r w:rsidRPr="00DC7069">
              <w:rPr>
                <w:rFonts w:ascii="Times New Roman" w:hAnsi="Times New Roman"/>
                <w:color w:val="000000"/>
                <w:sz w:val="20"/>
                <w:szCs w:val="20"/>
                <w:lang w:val="es-CL" w:eastAsia="es-CL"/>
              </w:rPr>
              <w:t>Pellet (Biomasa)</w:t>
            </w:r>
          </w:p>
        </w:tc>
        <w:tc>
          <w:tcPr>
            <w:tcW w:w="2544" w:type="dxa"/>
            <w:noWrap/>
            <w:hideMark/>
          </w:tcPr>
          <w:p w14:paraId="11B0E25B" w14:textId="77777777" w:rsidR="00DC7069" w:rsidRPr="00DC7069" w:rsidRDefault="00DC7069" w:rsidP="004A56D9">
            <w:pPr>
              <w:spacing w:after="0" w:line="240" w:lineRule="auto"/>
              <w:jc w:val="center"/>
              <w:rPr>
                <w:rFonts w:ascii="Times New Roman" w:hAnsi="Times New Roman"/>
                <w:color w:val="000000"/>
                <w:sz w:val="20"/>
                <w:szCs w:val="20"/>
                <w:lang w:val="es-CL" w:eastAsia="es-CL"/>
              </w:rPr>
            </w:pPr>
            <w:r w:rsidRPr="00DC7069">
              <w:rPr>
                <w:rFonts w:ascii="Times New Roman" w:hAnsi="Times New Roman"/>
                <w:color w:val="000000"/>
                <w:sz w:val="20"/>
                <w:szCs w:val="20"/>
                <w:lang w:val="es-CL" w:eastAsia="es-CL"/>
              </w:rPr>
              <w:t>Kilogramo (kg)</w:t>
            </w:r>
          </w:p>
        </w:tc>
        <w:tc>
          <w:tcPr>
            <w:tcW w:w="1915" w:type="dxa"/>
            <w:noWrap/>
            <w:hideMark/>
          </w:tcPr>
          <w:p w14:paraId="49E88883" w14:textId="77777777" w:rsidR="00DC7069" w:rsidRPr="00DC7069" w:rsidRDefault="00DC7069" w:rsidP="004A56D9">
            <w:pPr>
              <w:spacing w:after="0" w:line="240" w:lineRule="auto"/>
              <w:jc w:val="center"/>
              <w:rPr>
                <w:rFonts w:ascii="Times New Roman" w:hAnsi="Times New Roman"/>
                <w:color w:val="000000"/>
                <w:sz w:val="20"/>
                <w:szCs w:val="20"/>
                <w:lang w:val="es-CL" w:eastAsia="es-CL"/>
              </w:rPr>
            </w:pPr>
            <w:r w:rsidRPr="00DC7069">
              <w:rPr>
                <w:rFonts w:ascii="Times New Roman" w:hAnsi="Times New Roman"/>
                <w:color w:val="000000"/>
                <w:sz w:val="20"/>
                <w:szCs w:val="20"/>
                <w:lang w:val="es-CL" w:eastAsia="es-CL"/>
              </w:rPr>
              <w:t>3,87</w:t>
            </w:r>
          </w:p>
        </w:tc>
        <w:tc>
          <w:tcPr>
            <w:tcW w:w="1916" w:type="dxa"/>
            <w:noWrap/>
            <w:hideMark/>
          </w:tcPr>
          <w:p w14:paraId="78C9E00E" w14:textId="77777777" w:rsidR="00DC7069" w:rsidRPr="00DC7069" w:rsidRDefault="00DC7069" w:rsidP="004A56D9">
            <w:pPr>
              <w:spacing w:after="0" w:line="240" w:lineRule="auto"/>
              <w:jc w:val="center"/>
              <w:rPr>
                <w:rFonts w:ascii="Times New Roman" w:hAnsi="Times New Roman"/>
                <w:color w:val="000000"/>
                <w:sz w:val="20"/>
                <w:szCs w:val="20"/>
                <w:lang w:val="es-CL" w:eastAsia="es-CL"/>
              </w:rPr>
            </w:pPr>
            <w:r w:rsidRPr="00DC7069">
              <w:rPr>
                <w:rFonts w:ascii="Times New Roman" w:hAnsi="Times New Roman"/>
                <w:color w:val="000000"/>
                <w:sz w:val="20"/>
                <w:szCs w:val="20"/>
                <w:lang w:val="es-CL" w:eastAsia="es-CL"/>
              </w:rPr>
              <w:t>4,58</w:t>
            </w:r>
          </w:p>
        </w:tc>
      </w:tr>
    </w:tbl>
    <w:p w14:paraId="40E8706C" w14:textId="302DC151" w:rsidR="00DC7069" w:rsidRDefault="00DC7069" w:rsidP="00DA3DAA">
      <w:pPr>
        <w:tabs>
          <w:tab w:val="left" w:pos="2005"/>
        </w:tabs>
        <w:rPr>
          <w:rFonts w:ascii="Times New Roman" w:hAnsi="Times New Roman"/>
          <w:szCs w:val="24"/>
          <w:lang w:val="es-CL" w:eastAsia="es-CL"/>
        </w:rPr>
      </w:pPr>
    </w:p>
    <w:p w14:paraId="665E1159" w14:textId="41CC63C4" w:rsidR="00DC7069" w:rsidRDefault="00DC7069" w:rsidP="00DA3DAA">
      <w:pPr>
        <w:tabs>
          <w:tab w:val="left" w:pos="2005"/>
        </w:tabs>
        <w:rPr>
          <w:rFonts w:ascii="Times New Roman" w:hAnsi="Times New Roman"/>
          <w:szCs w:val="24"/>
          <w:lang w:val="es-CL" w:eastAsia="es-CL"/>
        </w:rPr>
      </w:pPr>
    </w:p>
    <w:p w14:paraId="591C2746" w14:textId="281B96CD" w:rsidR="00DC7069" w:rsidRDefault="00DC7069" w:rsidP="00DA3DAA">
      <w:pPr>
        <w:tabs>
          <w:tab w:val="left" w:pos="2005"/>
        </w:tabs>
        <w:rPr>
          <w:rFonts w:ascii="Times New Roman" w:hAnsi="Times New Roman"/>
          <w:szCs w:val="24"/>
          <w:lang w:val="es-CL" w:eastAsia="es-CL"/>
        </w:rPr>
      </w:pPr>
    </w:p>
    <w:p w14:paraId="4574FF4E" w14:textId="34731C18" w:rsidR="00DC7069" w:rsidRDefault="00DC7069" w:rsidP="00DA3DAA">
      <w:pPr>
        <w:tabs>
          <w:tab w:val="left" w:pos="2005"/>
        </w:tabs>
        <w:rPr>
          <w:rFonts w:ascii="Times New Roman" w:hAnsi="Times New Roman"/>
          <w:szCs w:val="24"/>
          <w:lang w:val="es-CL" w:eastAsia="es-CL"/>
        </w:rPr>
      </w:pPr>
    </w:p>
    <w:p w14:paraId="3F098682" w14:textId="6B79EF22" w:rsidR="00DC7069" w:rsidRDefault="00DC7069" w:rsidP="00DA3DAA">
      <w:pPr>
        <w:tabs>
          <w:tab w:val="left" w:pos="2005"/>
        </w:tabs>
        <w:rPr>
          <w:rFonts w:ascii="Times New Roman" w:hAnsi="Times New Roman"/>
          <w:szCs w:val="24"/>
          <w:lang w:val="es-CL" w:eastAsia="es-CL"/>
        </w:rPr>
      </w:pPr>
    </w:p>
    <w:p w14:paraId="450D8C41" w14:textId="77777777" w:rsidR="00DC569A" w:rsidRDefault="00DC569A" w:rsidP="00F3547E">
      <w:pPr>
        <w:tabs>
          <w:tab w:val="left" w:pos="2005"/>
        </w:tabs>
        <w:jc w:val="center"/>
        <w:rPr>
          <w:rFonts w:ascii="Times New Roman" w:hAnsi="Times New Roman"/>
          <w:sz w:val="20"/>
          <w:szCs w:val="20"/>
          <w:lang w:val="es-CL" w:eastAsia="es-CL"/>
        </w:rPr>
      </w:pPr>
    </w:p>
    <w:p w14:paraId="27AC3D00" w14:textId="212C8C42" w:rsidR="00DC7069" w:rsidRDefault="003509ED" w:rsidP="00F3547E">
      <w:pPr>
        <w:tabs>
          <w:tab w:val="left" w:pos="2005"/>
        </w:tabs>
        <w:jc w:val="center"/>
        <w:rPr>
          <w:rFonts w:ascii="Times New Roman" w:hAnsi="Times New Roman"/>
          <w:sz w:val="20"/>
          <w:szCs w:val="20"/>
          <w:lang w:val="es-CL" w:eastAsia="es-CL"/>
        </w:rPr>
      </w:pPr>
      <w:r w:rsidRPr="003509ED">
        <w:rPr>
          <w:rFonts w:ascii="Times New Roman" w:hAnsi="Times New Roman"/>
          <w:sz w:val="20"/>
          <w:szCs w:val="20"/>
          <w:lang w:val="es-CL" w:eastAsia="es-CL"/>
        </w:rPr>
        <w:t>*</w:t>
      </w:r>
      <w:r w:rsidR="00F3547E" w:rsidRPr="00F3547E">
        <w:rPr>
          <w:rFonts w:ascii="Times New Roman" w:hAnsi="Times New Roman"/>
          <w:sz w:val="20"/>
          <w:szCs w:val="20"/>
          <w:lang w:val="es-CL" w:eastAsia="es-CL"/>
        </w:rPr>
        <w:t>Se considera leña</w:t>
      </w:r>
      <w:r w:rsidR="00F3547E">
        <w:rPr>
          <w:rFonts w:ascii="Times New Roman" w:hAnsi="Times New Roman"/>
          <w:sz w:val="20"/>
          <w:szCs w:val="20"/>
          <w:lang w:val="es-CL" w:eastAsia="es-CL"/>
        </w:rPr>
        <w:t xml:space="preserve"> </w:t>
      </w:r>
      <w:r w:rsidR="00F3547E" w:rsidRPr="00F3547E">
        <w:rPr>
          <w:rFonts w:ascii="Times New Roman" w:hAnsi="Times New Roman"/>
          <w:sz w:val="20"/>
          <w:szCs w:val="20"/>
          <w:lang w:val="es-CL" w:eastAsia="es-CL"/>
        </w:rPr>
        <w:t>con un contenido de humedad máximo del 25% (medido en base seca)</w:t>
      </w:r>
      <w:r w:rsidR="00F3547E">
        <w:rPr>
          <w:rFonts w:ascii="Times New Roman" w:hAnsi="Times New Roman"/>
          <w:sz w:val="20"/>
          <w:szCs w:val="20"/>
          <w:lang w:val="es-CL" w:eastAsia="es-CL"/>
        </w:rPr>
        <w:t>.</w:t>
      </w:r>
    </w:p>
    <w:p w14:paraId="0E6F07DF" w14:textId="548DA7B0" w:rsidR="003509ED" w:rsidRDefault="003509ED" w:rsidP="00DA3DAA">
      <w:pPr>
        <w:tabs>
          <w:tab w:val="left" w:pos="2005"/>
        </w:tabs>
        <w:rPr>
          <w:rFonts w:ascii="Times New Roman" w:hAnsi="Times New Roman"/>
          <w:sz w:val="20"/>
          <w:szCs w:val="20"/>
          <w:lang w:val="es-CL" w:eastAsia="es-CL"/>
        </w:rPr>
      </w:pPr>
    </w:p>
    <w:p w14:paraId="5966F52F" w14:textId="71C91E5C" w:rsidR="003509ED" w:rsidRDefault="00FF23FD" w:rsidP="00DA3DAA">
      <w:pPr>
        <w:tabs>
          <w:tab w:val="left" w:pos="2005"/>
        </w:tabs>
        <w:rPr>
          <w:rFonts w:ascii="Times New Roman" w:hAnsi="Times New Roman"/>
          <w:szCs w:val="24"/>
          <w:lang w:val="es-CL" w:eastAsia="es-CL"/>
        </w:rPr>
      </w:pPr>
      <w:r w:rsidRPr="00FF23FD">
        <w:rPr>
          <w:rFonts w:ascii="Times New Roman" w:hAnsi="Times New Roman"/>
          <w:szCs w:val="24"/>
          <w:lang w:val="es-CL" w:eastAsia="es-CL"/>
        </w:rPr>
        <w:lastRenderedPageBreak/>
        <w:t xml:space="preserve">Posterior a la tabulación de los datos, se verifica que las razones calculadas entre el poder calorífico inferior y superior (PCI/PCS) de los combustibles fósiles oscilan entre 0,90 y 0,95. Este comportamiento es técnicamente consistente con los factores de conversión estándar adoptados por la industria energética y el Ministerio de Energía </w:t>
      </w:r>
      <w:r w:rsidR="00211AD0" w:rsidRPr="00211AD0">
        <w:rPr>
          <w:rFonts w:ascii="Times New Roman" w:hAnsi="Times New Roman"/>
          <w:szCs w:val="24"/>
          <w:highlight w:val="yellow"/>
          <w:lang w:val="es-CL" w:eastAsia="es-CL"/>
        </w:rPr>
        <w:t>(FUENTE).</w:t>
      </w:r>
    </w:p>
    <w:p w14:paraId="4B9E9EB1" w14:textId="77777777" w:rsidR="00FF23FD" w:rsidRDefault="00FF23FD" w:rsidP="00DA3DAA">
      <w:pPr>
        <w:tabs>
          <w:tab w:val="left" w:pos="2005"/>
        </w:tabs>
        <w:rPr>
          <w:rFonts w:ascii="Times New Roman" w:hAnsi="Times New Roman"/>
          <w:szCs w:val="24"/>
          <w:lang w:val="es-CL" w:eastAsia="es-CL"/>
        </w:rPr>
      </w:pPr>
    </w:p>
    <w:p w14:paraId="67F29FD8" w14:textId="56C0E0AB" w:rsidR="004F45C2" w:rsidRPr="004F45C2" w:rsidRDefault="004F45C2" w:rsidP="00A92595">
      <w:pPr>
        <w:pStyle w:val="Estilo1"/>
        <w:tabs>
          <w:tab w:val="left" w:pos="2005"/>
        </w:tabs>
        <w:rPr>
          <w:szCs w:val="24"/>
        </w:rPr>
      </w:pPr>
      <w:r>
        <w:t xml:space="preserve"> </w:t>
      </w:r>
      <w:r w:rsidRPr="00537F46">
        <w:t xml:space="preserve">Caracterización </w:t>
      </w:r>
      <w:r w:rsidRPr="004F45C2">
        <w:t>técnica de sistemas de calefacción residencial</w:t>
      </w:r>
    </w:p>
    <w:p w14:paraId="1C9A4A61" w14:textId="15321223" w:rsidR="00DA2A40" w:rsidRDefault="00DA2A40" w:rsidP="00FF23FD">
      <w:pPr>
        <w:tabs>
          <w:tab w:val="left" w:pos="2005"/>
        </w:tabs>
        <w:rPr>
          <w:rFonts w:ascii="Times New Roman" w:hAnsi="Times New Roman"/>
          <w:szCs w:val="24"/>
          <w:lang w:val="es-CL" w:eastAsia="es-CL"/>
        </w:rPr>
      </w:pPr>
      <w:r w:rsidRPr="00DA2A40">
        <w:rPr>
          <w:rFonts w:ascii="Times New Roman" w:hAnsi="Times New Roman"/>
          <w:szCs w:val="24"/>
          <w:lang w:val="es-CL" w:eastAsia="es-CL"/>
        </w:rPr>
        <w:t xml:space="preserve">Una vez </w:t>
      </w:r>
      <w:r>
        <w:rPr>
          <w:rFonts w:ascii="Times New Roman" w:hAnsi="Times New Roman"/>
          <w:szCs w:val="24"/>
          <w:lang w:val="es-CL" w:eastAsia="es-CL"/>
        </w:rPr>
        <w:t>normalizadas</w:t>
      </w:r>
      <w:r w:rsidRPr="00DA2A40">
        <w:rPr>
          <w:rFonts w:ascii="Times New Roman" w:hAnsi="Times New Roman"/>
          <w:szCs w:val="24"/>
          <w:lang w:val="es-CL" w:eastAsia="es-CL"/>
        </w:rPr>
        <w:t xml:space="preserve"> las unidades de energía de las fuentes en la sección anterior, se procede con el desglose de los equipos analizados para el sector residencial. La eficiencia de estos </w:t>
      </w:r>
      <w:r w:rsidR="00635F2B">
        <w:rPr>
          <w:rFonts w:ascii="Times New Roman" w:hAnsi="Times New Roman"/>
          <w:szCs w:val="24"/>
          <w:lang w:val="es-CL" w:eastAsia="es-CL"/>
        </w:rPr>
        <w:t>sistemas</w:t>
      </w:r>
      <w:r w:rsidRPr="00DA2A40">
        <w:rPr>
          <w:rFonts w:ascii="Times New Roman" w:hAnsi="Times New Roman"/>
          <w:szCs w:val="24"/>
          <w:lang w:val="es-CL" w:eastAsia="es-CL"/>
        </w:rPr>
        <w:t xml:space="preserve"> es el parámetro clave para determinar la transferencia de calor real hacia la vivienda y calcular el costo nivelado del calor (LCOH).</w:t>
      </w:r>
    </w:p>
    <w:p w14:paraId="13123B9E" w14:textId="50C5D408" w:rsidR="00DA2A40" w:rsidRDefault="00DA2A40" w:rsidP="00FF23FD">
      <w:pPr>
        <w:tabs>
          <w:tab w:val="left" w:pos="2005"/>
        </w:tabs>
        <w:rPr>
          <w:rFonts w:ascii="Times New Roman" w:hAnsi="Times New Roman"/>
          <w:szCs w:val="24"/>
          <w:lang w:val="es-CL" w:eastAsia="es-CL"/>
        </w:rPr>
      </w:pPr>
      <w:r w:rsidRPr="00DA2A40">
        <w:rPr>
          <w:rFonts w:ascii="Times New Roman" w:hAnsi="Times New Roman"/>
          <w:szCs w:val="24"/>
          <w:lang w:val="es-CL" w:eastAsia="es-CL"/>
        </w:rPr>
        <w:t xml:space="preserve">Para los recursos fósiles y la biomasa, esta conversión se encuentra gobernada por el rendimiento térmico nominal </w:t>
      </w:r>
      <m:oMath>
        <m:r>
          <m:rPr>
            <m:sty m:val="p"/>
          </m:rPr>
          <w:rPr>
            <w:rFonts w:ascii="Cambria Math" w:hAnsi="Cambria Math"/>
            <w:szCs w:val="24"/>
            <w:lang w:val="es-CL" w:eastAsia="es-CL"/>
          </w:rPr>
          <m:t>η</m:t>
        </m:r>
      </m:oMath>
      <w:r>
        <w:rPr>
          <w:rFonts w:ascii="Times New Roman" w:hAnsi="Times New Roman"/>
          <w:szCs w:val="24"/>
          <w:lang w:val="es-CL" w:eastAsia="es-CL"/>
        </w:rPr>
        <w:t xml:space="preserve"> </w:t>
      </w:r>
      <w:r w:rsidRPr="00DA2A40">
        <w:rPr>
          <w:rFonts w:ascii="Times New Roman" w:hAnsi="Times New Roman"/>
          <w:szCs w:val="24"/>
          <w:lang w:val="es-CL" w:eastAsia="es-CL"/>
        </w:rPr>
        <w:t>especificado por el fabricante y homologado por la Superintendencia de Electricidad y Combustibles (SEC</w:t>
      </w:r>
      <w:r w:rsidR="005F5EEA">
        <w:rPr>
          <w:rFonts w:ascii="Times New Roman" w:hAnsi="Times New Roman"/>
          <w:szCs w:val="24"/>
          <w:lang w:val="es-CL" w:eastAsia="es-CL"/>
        </w:rPr>
        <w:t>).</w:t>
      </w:r>
      <w:r w:rsidRPr="00DA2A40">
        <w:rPr>
          <w:rFonts w:ascii="Times New Roman" w:hAnsi="Times New Roman"/>
          <w:szCs w:val="24"/>
          <w:lang w:val="es-CL" w:eastAsia="es-CL"/>
        </w:rPr>
        <w:t xml:space="preserve"> Por el contrario, en los sistemas de climatización eléctrica por ciclo de compresión (Split </w:t>
      </w:r>
      <w:proofErr w:type="spellStart"/>
      <w:r w:rsidRPr="00DA2A40">
        <w:rPr>
          <w:rFonts w:ascii="Times New Roman" w:hAnsi="Times New Roman"/>
          <w:szCs w:val="24"/>
          <w:lang w:val="es-CL" w:eastAsia="es-CL"/>
        </w:rPr>
        <w:t>Inverter</w:t>
      </w:r>
      <w:proofErr w:type="spellEnd"/>
      <w:r w:rsidRPr="00DA2A40">
        <w:rPr>
          <w:rFonts w:ascii="Times New Roman" w:hAnsi="Times New Roman"/>
          <w:szCs w:val="24"/>
          <w:lang w:val="es-CL" w:eastAsia="es-CL"/>
        </w:rPr>
        <w:t>), este parámetro se define a través del Coeficiente de Rendimiento (COP), que establece la razón entre el flujo térmico útil inyectado y el consumo eléctrico neto demandado. A continuación, se describen los equipos agrupados según la energía que utilizan para su operación:</w:t>
      </w:r>
    </w:p>
    <w:p w14:paraId="50642413" w14:textId="77777777" w:rsidR="00A72457" w:rsidRDefault="00A72457" w:rsidP="00FF23FD">
      <w:pPr>
        <w:tabs>
          <w:tab w:val="left" w:pos="2005"/>
        </w:tabs>
        <w:rPr>
          <w:rFonts w:ascii="Times New Roman" w:hAnsi="Times New Roman"/>
          <w:szCs w:val="24"/>
          <w:lang w:val="es-CL" w:eastAsia="es-CL"/>
        </w:rPr>
      </w:pPr>
    </w:p>
    <w:p w14:paraId="7A28D8E1" w14:textId="142A1E51" w:rsidR="00DA2A40" w:rsidRDefault="00A72457" w:rsidP="00FF23FD">
      <w:pPr>
        <w:tabs>
          <w:tab w:val="left" w:pos="2005"/>
        </w:tabs>
        <w:rPr>
          <w:rFonts w:ascii="Times New Roman" w:hAnsi="Times New Roman"/>
          <w:szCs w:val="24"/>
          <w:lang w:val="es-CL" w:eastAsia="es-CL"/>
        </w:rPr>
      </w:pPr>
      <w:r w:rsidRPr="00A72457">
        <w:rPr>
          <w:rFonts w:ascii="Times New Roman" w:hAnsi="Times New Roman"/>
          <w:szCs w:val="24"/>
          <w:highlight w:val="red"/>
          <w:lang w:val="es-CL" w:eastAsia="es-CL"/>
        </w:rPr>
        <w:t>El parámetro de Eficiencia y/o COP (Coeficiente de Rendimiento) se refiere a la capacidad de los calefactores para convertir la energía consumida en calor útil. Mientras que la eficiencia energética se aplica a todos los tipos de calefactores, el COP es una medida específica para los aires acondicionados, indicando cuánta energía térmica generan en relación con la energía eléctrica que consumen. En el proceso de recopilación de datos, la eficiencia estuvo disponible en promedio para el 98% de los productos, mientras que el COP, se encontró en el 65% de los casos. (INDATA).</w:t>
      </w:r>
    </w:p>
    <w:p w14:paraId="0746F043" w14:textId="77777777" w:rsidR="00DA2A40" w:rsidRDefault="00DA2A40" w:rsidP="00FF23FD">
      <w:pPr>
        <w:tabs>
          <w:tab w:val="left" w:pos="2005"/>
        </w:tabs>
        <w:rPr>
          <w:rFonts w:ascii="Times New Roman" w:hAnsi="Times New Roman"/>
          <w:szCs w:val="24"/>
          <w:lang w:val="es-CL" w:eastAsia="es-CL"/>
        </w:rPr>
      </w:pPr>
    </w:p>
    <w:p w14:paraId="559CFED5" w14:textId="6E1DDFEF" w:rsidR="00FF23FD" w:rsidRDefault="00FF23FD" w:rsidP="004F45C2">
      <w:pPr>
        <w:pStyle w:val="Listaconnmeros"/>
        <w:numPr>
          <w:ilvl w:val="0"/>
          <w:numId w:val="0"/>
        </w:numPr>
        <w:ind w:left="360" w:hanging="360"/>
      </w:pPr>
    </w:p>
    <w:p w14:paraId="31D30923" w14:textId="51664C43" w:rsidR="00D45DCC" w:rsidRPr="00D45DCC" w:rsidRDefault="00D45DCC" w:rsidP="00D45DCC">
      <w:pPr>
        <w:pStyle w:val="Estilo1"/>
        <w:rPr>
          <w:szCs w:val="24"/>
        </w:rPr>
      </w:pPr>
      <w:r>
        <w:lastRenderedPageBreak/>
        <w:t xml:space="preserve"> </w:t>
      </w:r>
      <w:r w:rsidRPr="00D45DCC">
        <w:t>Tarifas y precios de mercado de las fuentes de energía</w:t>
      </w:r>
    </w:p>
    <w:p w14:paraId="1D988E7F" w14:textId="77777777" w:rsidR="00D45DCC" w:rsidRDefault="00D45DCC" w:rsidP="00D45DCC">
      <w:pPr>
        <w:tabs>
          <w:tab w:val="left" w:pos="2005"/>
        </w:tabs>
        <w:rPr>
          <w:rFonts w:ascii="Times New Roman" w:hAnsi="Times New Roman"/>
          <w:szCs w:val="24"/>
          <w:lang w:val="es-CL" w:eastAsia="es-CL"/>
        </w:rPr>
      </w:pPr>
      <w:r w:rsidRPr="00D45DCC">
        <w:rPr>
          <w:rFonts w:ascii="Times New Roman" w:hAnsi="Times New Roman"/>
          <w:szCs w:val="24"/>
          <w:lang w:val="es-CL" w:eastAsia="es-CL"/>
        </w:rPr>
        <w:t xml:space="preserve">Con el propósito de estructurar el modelo de optimización, se tabulan los precios de venta </w:t>
      </w:r>
      <w:r w:rsidRPr="00D45DCC">
        <w:rPr>
          <w:rFonts w:ascii="Times New Roman" w:hAnsi="Times New Roman"/>
          <w:szCs w:val="24"/>
          <w:lang w:val="es-CL" w:eastAsia="es-CL"/>
        </w:rPr>
        <w:t>al</w:t>
      </w:r>
      <w:r w:rsidRPr="00D45DCC">
        <w:rPr>
          <w:rFonts w:ascii="Times New Roman" w:hAnsi="Times New Roman"/>
          <w:szCs w:val="24"/>
          <w:lang w:val="es-CL" w:eastAsia="es-CL"/>
        </w:rPr>
        <w:t xml:space="preserve"> público</w:t>
      </w:r>
      <w:r>
        <w:rPr>
          <w:rFonts w:ascii="Times New Roman" w:hAnsi="Times New Roman"/>
          <w:szCs w:val="24"/>
          <w:lang w:val="es-CL" w:eastAsia="es-CL"/>
        </w:rPr>
        <w:t xml:space="preserve"> </w:t>
      </w:r>
      <w:r w:rsidRPr="00D45DCC">
        <w:rPr>
          <w:rFonts w:ascii="Times New Roman" w:hAnsi="Times New Roman"/>
          <w:szCs w:val="24"/>
          <w:lang w:val="es-CL" w:eastAsia="es-CL"/>
        </w:rPr>
        <w:t>de las fuentes de energía residenciales. Los valores en pesos chilenos</w:t>
      </w:r>
      <w:r>
        <w:rPr>
          <w:rFonts w:ascii="Times New Roman" w:hAnsi="Times New Roman"/>
          <w:szCs w:val="24"/>
          <w:lang w:val="es-CL" w:eastAsia="es-CL"/>
        </w:rPr>
        <w:t xml:space="preserve"> </w:t>
      </w:r>
      <w:r w:rsidRPr="00D45DCC">
        <w:rPr>
          <w:rFonts w:ascii="Times New Roman" w:hAnsi="Times New Roman"/>
          <w:szCs w:val="24"/>
          <w:lang w:val="es-CL" w:eastAsia="es-CL"/>
        </w:rPr>
        <w:t>($) corresponden a los promedios calculados por ciudad al 31 de julio de 2026, capturando las diferencias de los costos de distribución y los mercados locales según su respectiva zonificación térmica nacional.</w:t>
      </w:r>
    </w:p>
    <w:p w14:paraId="3ECEC09D" w14:textId="4F8F9881" w:rsidR="00D45DCC" w:rsidRDefault="00D45DCC" w:rsidP="00D45DCC">
      <w:pPr>
        <w:tabs>
          <w:tab w:val="left" w:pos="2005"/>
        </w:tabs>
        <w:rPr>
          <w:rFonts w:ascii="Times New Roman" w:hAnsi="Times New Roman"/>
          <w:szCs w:val="24"/>
          <w:lang w:val="es-CL" w:eastAsia="es-CL"/>
        </w:rPr>
      </w:pPr>
      <w:r w:rsidRPr="00D45DCC">
        <w:rPr>
          <w:rFonts w:ascii="Times New Roman" w:hAnsi="Times New Roman"/>
          <w:szCs w:val="24"/>
          <w:lang w:val="es-CL" w:eastAsia="es-CL"/>
        </w:rPr>
        <w:t>Los datos provienen de los registros del Sistema de Información de Combustibles del Ministerio de Energía, los reportes tarifarios de la Comisión Nacional de Energía (CNE) y los catastros de la Agencia de Sostenibilidad Energética. La Tabla 1.2 consolida la matriz de precios base recolectada para cada</w:t>
      </w:r>
      <w:r>
        <w:rPr>
          <w:rFonts w:ascii="Times New Roman" w:hAnsi="Times New Roman"/>
          <w:szCs w:val="24"/>
          <w:lang w:val="es-CL" w:eastAsia="es-CL"/>
        </w:rPr>
        <w:t xml:space="preserve"> Zona Térmica / Ciudad de Referencia:</w:t>
      </w:r>
    </w:p>
    <w:tbl>
      <w:tblPr>
        <w:tblW w:w="8620" w:type="dxa"/>
        <w:tblCellMar>
          <w:left w:w="70" w:type="dxa"/>
          <w:right w:w="70" w:type="dxa"/>
        </w:tblCellMar>
        <w:tblLook w:val="04A0" w:firstRow="1" w:lastRow="0" w:firstColumn="1" w:lastColumn="0" w:noHBand="0" w:noVBand="1"/>
      </w:tblPr>
      <w:tblGrid>
        <w:gridCol w:w="864"/>
        <w:gridCol w:w="1403"/>
        <w:gridCol w:w="1185"/>
        <w:gridCol w:w="940"/>
        <w:gridCol w:w="1273"/>
        <w:gridCol w:w="1276"/>
        <w:gridCol w:w="968"/>
        <w:gridCol w:w="711"/>
      </w:tblGrid>
      <w:tr w:rsidR="003015F8" w:rsidRPr="00E5252A" w14:paraId="1820A6BC" w14:textId="77777777" w:rsidTr="003015F8">
        <w:trPr>
          <w:trHeight w:val="574"/>
        </w:trPr>
        <w:tc>
          <w:tcPr>
            <w:tcW w:w="86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E0442B2" w14:textId="77777777" w:rsidR="00E5252A" w:rsidRPr="00E5252A" w:rsidRDefault="00E5252A" w:rsidP="00E5252A">
            <w:pPr>
              <w:spacing w:after="0" w:line="240" w:lineRule="auto"/>
              <w:jc w:val="left"/>
              <w:rPr>
                <w:rFonts w:ascii="Times New Roman" w:hAnsi="Times New Roman"/>
                <w:b/>
                <w:bCs/>
                <w:color w:val="000000"/>
                <w:sz w:val="20"/>
                <w:szCs w:val="20"/>
                <w:lang w:val="es-CL" w:eastAsia="es-CL"/>
              </w:rPr>
            </w:pPr>
            <w:r w:rsidRPr="00E5252A">
              <w:rPr>
                <w:rFonts w:ascii="Times New Roman" w:hAnsi="Times New Roman"/>
                <w:b/>
                <w:bCs/>
                <w:color w:val="000000"/>
                <w:sz w:val="20"/>
                <w:szCs w:val="20"/>
                <w:lang w:val="es-CL" w:eastAsia="es-CL"/>
              </w:rPr>
              <w:t>Zona Térmica</w:t>
            </w:r>
          </w:p>
        </w:tc>
        <w:tc>
          <w:tcPr>
            <w:tcW w:w="1403" w:type="dxa"/>
            <w:tcBorders>
              <w:top w:val="single" w:sz="4" w:space="0" w:color="auto"/>
              <w:left w:val="nil"/>
              <w:bottom w:val="single" w:sz="4" w:space="0" w:color="auto"/>
              <w:right w:val="single" w:sz="4" w:space="0" w:color="auto"/>
            </w:tcBorders>
            <w:shd w:val="clear" w:color="auto" w:fill="auto"/>
            <w:vAlign w:val="bottom"/>
            <w:hideMark/>
          </w:tcPr>
          <w:p w14:paraId="647F8C31" w14:textId="77777777" w:rsidR="00E5252A" w:rsidRPr="00E5252A" w:rsidRDefault="00E5252A" w:rsidP="00E5252A">
            <w:pPr>
              <w:spacing w:after="0" w:line="240" w:lineRule="auto"/>
              <w:jc w:val="left"/>
              <w:rPr>
                <w:rFonts w:ascii="Times New Roman" w:hAnsi="Times New Roman"/>
                <w:b/>
                <w:bCs/>
                <w:color w:val="000000"/>
                <w:sz w:val="20"/>
                <w:szCs w:val="20"/>
                <w:lang w:val="es-CL" w:eastAsia="es-CL"/>
              </w:rPr>
            </w:pPr>
            <w:r w:rsidRPr="00E5252A">
              <w:rPr>
                <w:rFonts w:ascii="Times New Roman" w:hAnsi="Times New Roman"/>
                <w:b/>
                <w:bCs/>
                <w:color w:val="000000"/>
                <w:sz w:val="20"/>
                <w:szCs w:val="20"/>
                <w:lang w:val="es-CL" w:eastAsia="es-CL"/>
              </w:rPr>
              <w:t>Ciudad de Referencia</w:t>
            </w:r>
          </w:p>
        </w:tc>
        <w:tc>
          <w:tcPr>
            <w:tcW w:w="1185" w:type="dxa"/>
            <w:tcBorders>
              <w:top w:val="single" w:sz="4" w:space="0" w:color="auto"/>
              <w:left w:val="nil"/>
              <w:bottom w:val="single" w:sz="4" w:space="0" w:color="auto"/>
              <w:right w:val="single" w:sz="4" w:space="0" w:color="auto"/>
            </w:tcBorders>
            <w:shd w:val="clear" w:color="auto" w:fill="auto"/>
            <w:vAlign w:val="bottom"/>
            <w:hideMark/>
          </w:tcPr>
          <w:p w14:paraId="0C32125D" w14:textId="77777777" w:rsidR="00E5252A" w:rsidRPr="00E5252A" w:rsidRDefault="00E5252A" w:rsidP="00E5252A">
            <w:pPr>
              <w:spacing w:after="0" w:line="240" w:lineRule="auto"/>
              <w:jc w:val="left"/>
              <w:rPr>
                <w:rFonts w:ascii="Times New Roman" w:hAnsi="Times New Roman"/>
                <w:b/>
                <w:bCs/>
                <w:color w:val="000000"/>
                <w:sz w:val="20"/>
                <w:szCs w:val="20"/>
                <w:lang w:val="es-CL" w:eastAsia="es-CL"/>
              </w:rPr>
            </w:pPr>
            <w:r w:rsidRPr="00E5252A">
              <w:rPr>
                <w:rFonts w:ascii="Times New Roman" w:hAnsi="Times New Roman"/>
                <w:b/>
                <w:bCs/>
                <w:color w:val="000000"/>
                <w:sz w:val="20"/>
                <w:szCs w:val="20"/>
                <w:lang w:val="es-CL" w:eastAsia="es-CL"/>
              </w:rPr>
              <w:t>Electricidad [$/kWh]</w:t>
            </w:r>
          </w:p>
        </w:tc>
        <w:tc>
          <w:tcPr>
            <w:tcW w:w="940" w:type="dxa"/>
            <w:tcBorders>
              <w:top w:val="single" w:sz="4" w:space="0" w:color="auto"/>
              <w:left w:val="nil"/>
              <w:bottom w:val="single" w:sz="4" w:space="0" w:color="auto"/>
              <w:right w:val="single" w:sz="4" w:space="0" w:color="auto"/>
            </w:tcBorders>
            <w:shd w:val="clear" w:color="auto" w:fill="auto"/>
            <w:vAlign w:val="bottom"/>
            <w:hideMark/>
          </w:tcPr>
          <w:p w14:paraId="77F73619" w14:textId="77777777" w:rsidR="00E5252A" w:rsidRPr="00E5252A" w:rsidRDefault="00E5252A" w:rsidP="00E5252A">
            <w:pPr>
              <w:spacing w:after="0" w:line="240" w:lineRule="auto"/>
              <w:jc w:val="left"/>
              <w:rPr>
                <w:rFonts w:ascii="Times New Roman" w:hAnsi="Times New Roman"/>
                <w:b/>
                <w:bCs/>
                <w:color w:val="000000"/>
                <w:sz w:val="20"/>
                <w:szCs w:val="20"/>
                <w:lang w:val="es-CL" w:eastAsia="es-CL"/>
              </w:rPr>
            </w:pPr>
            <w:r w:rsidRPr="00E5252A">
              <w:rPr>
                <w:rFonts w:ascii="Times New Roman" w:hAnsi="Times New Roman"/>
                <w:b/>
                <w:bCs/>
                <w:color w:val="000000"/>
                <w:sz w:val="20"/>
                <w:szCs w:val="20"/>
                <w:lang w:val="es-CL" w:eastAsia="es-CL"/>
              </w:rPr>
              <w:t>Kerosene [$/Litro]</w:t>
            </w:r>
          </w:p>
        </w:tc>
        <w:tc>
          <w:tcPr>
            <w:tcW w:w="1273" w:type="dxa"/>
            <w:tcBorders>
              <w:top w:val="single" w:sz="4" w:space="0" w:color="auto"/>
              <w:left w:val="nil"/>
              <w:bottom w:val="single" w:sz="4" w:space="0" w:color="auto"/>
              <w:right w:val="single" w:sz="4" w:space="0" w:color="auto"/>
            </w:tcBorders>
            <w:shd w:val="clear" w:color="auto" w:fill="auto"/>
            <w:vAlign w:val="bottom"/>
            <w:hideMark/>
          </w:tcPr>
          <w:p w14:paraId="61E365C0" w14:textId="1CAC4152" w:rsidR="00E5252A" w:rsidRPr="00E5252A" w:rsidRDefault="00E5252A" w:rsidP="00E5252A">
            <w:pPr>
              <w:spacing w:after="0" w:line="240" w:lineRule="auto"/>
              <w:jc w:val="left"/>
              <w:rPr>
                <w:rFonts w:ascii="Times New Roman" w:hAnsi="Times New Roman"/>
                <w:b/>
                <w:bCs/>
                <w:color w:val="000000"/>
                <w:sz w:val="20"/>
                <w:szCs w:val="20"/>
                <w:lang w:val="es-CL" w:eastAsia="es-CL"/>
              </w:rPr>
            </w:pPr>
            <w:r w:rsidRPr="00E5252A">
              <w:rPr>
                <w:rFonts w:ascii="Times New Roman" w:hAnsi="Times New Roman"/>
                <w:b/>
                <w:bCs/>
                <w:color w:val="000000"/>
                <w:sz w:val="20"/>
                <w:szCs w:val="20"/>
                <w:lang w:val="es-CL" w:eastAsia="es-CL"/>
              </w:rPr>
              <w:t>Gas Licuado (GLP)</w:t>
            </w:r>
            <w:r>
              <w:rPr>
                <w:rFonts w:ascii="Times New Roman" w:hAnsi="Times New Roman"/>
                <w:b/>
                <w:bCs/>
                <w:color w:val="000000"/>
                <w:sz w:val="20"/>
                <w:szCs w:val="20"/>
                <w:lang w:val="es-CL" w:eastAsia="es-CL"/>
              </w:rPr>
              <w:t xml:space="preserve"> </w:t>
            </w:r>
            <w:r w:rsidRPr="00E5252A">
              <w:rPr>
                <w:rFonts w:ascii="Times New Roman" w:hAnsi="Times New Roman"/>
                <w:b/>
                <w:bCs/>
                <w:color w:val="000000"/>
                <w:sz w:val="20"/>
                <w:szCs w:val="20"/>
                <w:lang w:val="es-CL" w:eastAsia="es-CL"/>
              </w:rPr>
              <w:t>[$/kg]</w:t>
            </w:r>
          </w:p>
        </w:tc>
        <w:tc>
          <w:tcPr>
            <w:tcW w:w="1276" w:type="dxa"/>
            <w:tcBorders>
              <w:top w:val="single" w:sz="4" w:space="0" w:color="auto"/>
              <w:left w:val="nil"/>
              <w:bottom w:val="single" w:sz="4" w:space="0" w:color="auto"/>
              <w:right w:val="single" w:sz="4" w:space="0" w:color="auto"/>
            </w:tcBorders>
            <w:shd w:val="clear" w:color="auto" w:fill="auto"/>
            <w:vAlign w:val="bottom"/>
            <w:hideMark/>
          </w:tcPr>
          <w:p w14:paraId="6BC35C93" w14:textId="77777777" w:rsidR="00E5252A" w:rsidRPr="00E5252A" w:rsidRDefault="00E5252A" w:rsidP="00E5252A">
            <w:pPr>
              <w:spacing w:after="0" w:line="240" w:lineRule="auto"/>
              <w:jc w:val="left"/>
              <w:rPr>
                <w:rFonts w:ascii="Times New Roman" w:hAnsi="Times New Roman"/>
                <w:b/>
                <w:bCs/>
                <w:color w:val="000000"/>
                <w:sz w:val="20"/>
                <w:szCs w:val="20"/>
                <w:lang w:val="es-CL" w:eastAsia="es-CL"/>
              </w:rPr>
            </w:pPr>
            <w:r w:rsidRPr="00E5252A">
              <w:rPr>
                <w:rFonts w:ascii="Times New Roman" w:hAnsi="Times New Roman"/>
                <w:b/>
                <w:bCs/>
                <w:color w:val="000000"/>
                <w:sz w:val="20"/>
                <w:szCs w:val="20"/>
                <w:lang w:val="es-CL" w:eastAsia="es-CL"/>
              </w:rPr>
              <w:t>Gas Natural (GN) [$/m³]</w:t>
            </w:r>
          </w:p>
        </w:tc>
        <w:tc>
          <w:tcPr>
            <w:tcW w:w="968" w:type="dxa"/>
            <w:tcBorders>
              <w:top w:val="single" w:sz="4" w:space="0" w:color="auto"/>
              <w:left w:val="nil"/>
              <w:bottom w:val="single" w:sz="4" w:space="0" w:color="auto"/>
              <w:right w:val="single" w:sz="4" w:space="0" w:color="auto"/>
            </w:tcBorders>
            <w:shd w:val="clear" w:color="auto" w:fill="auto"/>
            <w:vAlign w:val="bottom"/>
            <w:hideMark/>
          </w:tcPr>
          <w:p w14:paraId="40C36DD6" w14:textId="77777777" w:rsidR="00E5252A" w:rsidRPr="00E5252A" w:rsidRDefault="00E5252A" w:rsidP="00E5252A">
            <w:pPr>
              <w:spacing w:after="0" w:line="240" w:lineRule="auto"/>
              <w:jc w:val="left"/>
              <w:rPr>
                <w:rFonts w:ascii="Times New Roman" w:hAnsi="Times New Roman"/>
                <w:b/>
                <w:bCs/>
                <w:color w:val="000000"/>
                <w:sz w:val="20"/>
                <w:szCs w:val="20"/>
                <w:lang w:val="es-CL" w:eastAsia="es-CL"/>
              </w:rPr>
            </w:pPr>
            <w:r w:rsidRPr="00E5252A">
              <w:rPr>
                <w:rFonts w:ascii="Times New Roman" w:hAnsi="Times New Roman"/>
                <w:b/>
                <w:bCs/>
                <w:color w:val="000000"/>
                <w:sz w:val="20"/>
                <w:szCs w:val="20"/>
                <w:lang w:val="es-CL" w:eastAsia="es-CL"/>
              </w:rPr>
              <w:t>Leña [$/kg]</w:t>
            </w:r>
          </w:p>
        </w:tc>
        <w:tc>
          <w:tcPr>
            <w:tcW w:w="711" w:type="dxa"/>
            <w:tcBorders>
              <w:top w:val="single" w:sz="4" w:space="0" w:color="auto"/>
              <w:left w:val="nil"/>
              <w:bottom w:val="single" w:sz="4" w:space="0" w:color="auto"/>
              <w:right w:val="single" w:sz="4" w:space="0" w:color="auto"/>
            </w:tcBorders>
            <w:shd w:val="clear" w:color="auto" w:fill="auto"/>
            <w:vAlign w:val="bottom"/>
            <w:hideMark/>
          </w:tcPr>
          <w:p w14:paraId="24597D17" w14:textId="77777777" w:rsidR="00E5252A" w:rsidRPr="00E5252A" w:rsidRDefault="00E5252A" w:rsidP="00E5252A">
            <w:pPr>
              <w:spacing w:after="0" w:line="240" w:lineRule="auto"/>
              <w:jc w:val="left"/>
              <w:rPr>
                <w:rFonts w:ascii="Times New Roman" w:hAnsi="Times New Roman"/>
                <w:b/>
                <w:bCs/>
                <w:color w:val="000000"/>
                <w:sz w:val="20"/>
                <w:szCs w:val="20"/>
                <w:lang w:val="es-CL" w:eastAsia="es-CL"/>
              </w:rPr>
            </w:pPr>
            <w:r w:rsidRPr="00E5252A">
              <w:rPr>
                <w:rFonts w:ascii="Times New Roman" w:hAnsi="Times New Roman"/>
                <w:b/>
                <w:bCs/>
                <w:color w:val="000000"/>
                <w:sz w:val="20"/>
                <w:szCs w:val="20"/>
                <w:lang w:val="es-CL" w:eastAsia="es-CL"/>
              </w:rPr>
              <w:t>Pellet [$/kg]</w:t>
            </w:r>
          </w:p>
        </w:tc>
      </w:tr>
      <w:tr w:rsidR="003015F8" w:rsidRPr="00E5252A" w14:paraId="66E2A3B0" w14:textId="77777777" w:rsidTr="000B7863">
        <w:trPr>
          <w:trHeight w:val="287"/>
        </w:trPr>
        <w:tc>
          <w:tcPr>
            <w:tcW w:w="864" w:type="dxa"/>
            <w:tcBorders>
              <w:top w:val="double" w:sz="4" w:space="0" w:color="auto"/>
              <w:left w:val="single" w:sz="4" w:space="0" w:color="auto"/>
              <w:bottom w:val="single" w:sz="4" w:space="0" w:color="auto"/>
              <w:right w:val="single" w:sz="4" w:space="0" w:color="auto"/>
            </w:tcBorders>
            <w:shd w:val="clear" w:color="auto" w:fill="auto"/>
            <w:vAlign w:val="bottom"/>
            <w:hideMark/>
          </w:tcPr>
          <w:p w14:paraId="37A949CC"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A</w:t>
            </w:r>
          </w:p>
        </w:tc>
        <w:tc>
          <w:tcPr>
            <w:tcW w:w="1403" w:type="dxa"/>
            <w:tcBorders>
              <w:top w:val="double" w:sz="4" w:space="0" w:color="auto"/>
              <w:left w:val="nil"/>
              <w:bottom w:val="single" w:sz="4" w:space="0" w:color="auto"/>
              <w:right w:val="single" w:sz="4" w:space="0" w:color="auto"/>
            </w:tcBorders>
            <w:shd w:val="clear" w:color="auto" w:fill="auto"/>
            <w:vAlign w:val="bottom"/>
            <w:hideMark/>
          </w:tcPr>
          <w:p w14:paraId="7480E63B"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Antofagasta</w:t>
            </w:r>
          </w:p>
        </w:tc>
        <w:tc>
          <w:tcPr>
            <w:tcW w:w="1185" w:type="dxa"/>
            <w:tcBorders>
              <w:top w:val="double" w:sz="4" w:space="0" w:color="auto"/>
              <w:left w:val="nil"/>
              <w:bottom w:val="single" w:sz="4" w:space="0" w:color="auto"/>
              <w:right w:val="single" w:sz="4" w:space="0" w:color="auto"/>
            </w:tcBorders>
            <w:shd w:val="clear" w:color="auto" w:fill="auto"/>
            <w:vAlign w:val="bottom"/>
            <w:hideMark/>
          </w:tcPr>
          <w:p w14:paraId="100D5E72"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940" w:type="dxa"/>
            <w:tcBorders>
              <w:top w:val="double" w:sz="4" w:space="0" w:color="auto"/>
              <w:left w:val="nil"/>
              <w:bottom w:val="single" w:sz="4" w:space="0" w:color="auto"/>
              <w:right w:val="single" w:sz="4" w:space="0" w:color="auto"/>
            </w:tcBorders>
            <w:shd w:val="clear" w:color="auto" w:fill="auto"/>
            <w:vAlign w:val="bottom"/>
            <w:hideMark/>
          </w:tcPr>
          <w:p w14:paraId="6BECFC60"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1273" w:type="dxa"/>
            <w:tcBorders>
              <w:top w:val="double" w:sz="4" w:space="0" w:color="auto"/>
              <w:left w:val="nil"/>
              <w:bottom w:val="single" w:sz="4" w:space="0" w:color="auto"/>
              <w:right w:val="single" w:sz="4" w:space="0" w:color="auto"/>
            </w:tcBorders>
            <w:shd w:val="clear" w:color="auto" w:fill="auto"/>
            <w:vAlign w:val="bottom"/>
            <w:hideMark/>
          </w:tcPr>
          <w:p w14:paraId="7D9ADB38"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1276" w:type="dxa"/>
            <w:tcBorders>
              <w:top w:val="double" w:sz="4" w:space="0" w:color="auto"/>
              <w:left w:val="nil"/>
              <w:bottom w:val="single" w:sz="4" w:space="0" w:color="auto"/>
              <w:right w:val="single" w:sz="4" w:space="0" w:color="auto"/>
            </w:tcBorders>
            <w:shd w:val="clear" w:color="auto" w:fill="auto"/>
            <w:vAlign w:val="bottom"/>
            <w:hideMark/>
          </w:tcPr>
          <w:p w14:paraId="38D8E65C"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968" w:type="dxa"/>
            <w:tcBorders>
              <w:top w:val="double" w:sz="4" w:space="0" w:color="auto"/>
              <w:left w:val="nil"/>
              <w:bottom w:val="single" w:sz="4" w:space="0" w:color="auto"/>
              <w:right w:val="single" w:sz="4" w:space="0" w:color="auto"/>
            </w:tcBorders>
            <w:shd w:val="clear" w:color="auto" w:fill="auto"/>
            <w:vAlign w:val="bottom"/>
            <w:hideMark/>
          </w:tcPr>
          <w:p w14:paraId="740A2A5D" w14:textId="75BE66D8" w:rsidR="00E5252A" w:rsidRPr="00E5252A" w:rsidRDefault="00AA18F6" w:rsidP="00E5252A">
            <w:pPr>
              <w:spacing w:after="0" w:line="240" w:lineRule="auto"/>
              <w:jc w:val="left"/>
              <w:rPr>
                <w:rFonts w:ascii="Times New Roman" w:hAnsi="Times New Roman"/>
                <w:color w:val="000000"/>
                <w:sz w:val="20"/>
                <w:szCs w:val="20"/>
                <w:lang w:val="es-CL" w:eastAsia="es-CL"/>
              </w:rPr>
            </w:pPr>
            <w:r>
              <w:rPr>
                <w:rFonts w:ascii="Times New Roman" w:hAnsi="Times New Roman"/>
                <w:color w:val="000000"/>
                <w:sz w:val="20"/>
                <w:szCs w:val="20"/>
                <w:lang w:val="es-CL" w:eastAsia="es-CL"/>
              </w:rPr>
              <w:t>-</w:t>
            </w:r>
          </w:p>
        </w:tc>
        <w:tc>
          <w:tcPr>
            <w:tcW w:w="711" w:type="dxa"/>
            <w:tcBorders>
              <w:top w:val="double" w:sz="4" w:space="0" w:color="auto"/>
              <w:left w:val="nil"/>
              <w:bottom w:val="single" w:sz="4" w:space="0" w:color="auto"/>
              <w:right w:val="single" w:sz="4" w:space="0" w:color="auto"/>
            </w:tcBorders>
            <w:shd w:val="clear" w:color="auto" w:fill="auto"/>
            <w:vAlign w:val="bottom"/>
            <w:hideMark/>
          </w:tcPr>
          <w:p w14:paraId="450834E9" w14:textId="1519E21D" w:rsidR="00E5252A" w:rsidRPr="00E5252A" w:rsidRDefault="00AA18F6" w:rsidP="00E5252A">
            <w:pPr>
              <w:spacing w:after="0" w:line="240" w:lineRule="auto"/>
              <w:jc w:val="left"/>
              <w:rPr>
                <w:rFonts w:ascii="Times New Roman" w:hAnsi="Times New Roman"/>
                <w:color w:val="000000"/>
                <w:sz w:val="20"/>
                <w:szCs w:val="20"/>
                <w:lang w:val="es-CL" w:eastAsia="es-CL"/>
              </w:rPr>
            </w:pPr>
            <w:r>
              <w:rPr>
                <w:rFonts w:ascii="Times New Roman" w:hAnsi="Times New Roman"/>
                <w:color w:val="000000"/>
                <w:sz w:val="20"/>
                <w:szCs w:val="20"/>
                <w:lang w:val="es-CL" w:eastAsia="es-CL"/>
              </w:rPr>
              <w:t>-</w:t>
            </w:r>
          </w:p>
        </w:tc>
      </w:tr>
      <w:tr w:rsidR="003015F8" w:rsidRPr="00E5252A" w14:paraId="311A40F3" w14:textId="77777777" w:rsidTr="003015F8">
        <w:trPr>
          <w:trHeight w:val="287"/>
        </w:trPr>
        <w:tc>
          <w:tcPr>
            <w:tcW w:w="864" w:type="dxa"/>
            <w:tcBorders>
              <w:top w:val="nil"/>
              <w:left w:val="single" w:sz="4" w:space="0" w:color="auto"/>
              <w:bottom w:val="single" w:sz="4" w:space="0" w:color="auto"/>
              <w:right w:val="single" w:sz="4" w:space="0" w:color="auto"/>
            </w:tcBorders>
            <w:shd w:val="clear" w:color="auto" w:fill="auto"/>
            <w:vAlign w:val="bottom"/>
            <w:hideMark/>
          </w:tcPr>
          <w:p w14:paraId="1FAE76FF"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B</w:t>
            </w:r>
          </w:p>
        </w:tc>
        <w:tc>
          <w:tcPr>
            <w:tcW w:w="1403" w:type="dxa"/>
            <w:tcBorders>
              <w:top w:val="nil"/>
              <w:left w:val="nil"/>
              <w:bottom w:val="single" w:sz="4" w:space="0" w:color="auto"/>
              <w:right w:val="single" w:sz="4" w:space="0" w:color="auto"/>
            </w:tcBorders>
            <w:shd w:val="clear" w:color="auto" w:fill="auto"/>
            <w:vAlign w:val="bottom"/>
            <w:hideMark/>
          </w:tcPr>
          <w:p w14:paraId="0317E93C"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Calama</w:t>
            </w:r>
          </w:p>
        </w:tc>
        <w:tc>
          <w:tcPr>
            <w:tcW w:w="1185" w:type="dxa"/>
            <w:tcBorders>
              <w:top w:val="nil"/>
              <w:left w:val="nil"/>
              <w:bottom w:val="single" w:sz="4" w:space="0" w:color="auto"/>
              <w:right w:val="single" w:sz="4" w:space="0" w:color="auto"/>
            </w:tcBorders>
            <w:shd w:val="clear" w:color="auto" w:fill="auto"/>
            <w:vAlign w:val="bottom"/>
            <w:hideMark/>
          </w:tcPr>
          <w:p w14:paraId="475B590B"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940" w:type="dxa"/>
            <w:tcBorders>
              <w:top w:val="nil"/>
              <w:left w:val="nil"/>
              <w:bottom w:val="single" w:sz="4" w:space="0" w:color="auto"/>
              <w:right w:val="single" w:sz="4" w:space="0" w:color="auto"/>
            </w:tcBorders>
            <w:shd w:val="clear" w:color="auto" w:fill="auto"/>
            <w:vAlign w:val="bottom"/>
            <w:hideMark/>
          </w:tcPr>
          <w:p w14:paraId="1673E852"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1273" w:type="dxa"/>
            <w:tcBorders>
              <w:top w:val="nil"/>
              <w:left w:val="nil"/>
              <w:bottom w:val="single" w:sz="4" w:space="0" w:color="auto"/>
              <w:right w:val="single" w:sz="4" w:space="0" w:color="auto"/>
            </w:tcBorders>
            <w:shd w:val="clear" w:color="auto" w:fill="auto"/>
            <w:vAlign w:val="bottom"/>
            <w:hideMark/>
          </w:tcPr>
          <w:p w14:paraId="77A45CCA"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1276" w:type="dxa"/>
            <w:tcBorders>
              <w:top w:val="nil"/>
              <w:left w:val="nil"/>
              <w:bottom w:val="single" w:sz="4" w:space="0" w:color="auto"/>
              <w:right w:val="single" w:sz="4" w:space="0" w:color="auto"/>
            </w:tcBorders>
            <w:shd w:val="clear" w:color="auto" w:fill="auto"/>
            <w:vAlign w:val="bottom"/>
            <w:hideMark/>
          </w:tcPr>
          <w:p w14:paraId="7788AAC3"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968" w:type="dxa"/>
            <w:tcBorders>
              <w:top w:val="nil"/>
              <w:left w:val="nil"/>
              <w:bottom w:val="single" w:sz="4" w:space="0" w:color="auto"/>
              <w:right w:val="single" w:sz="4" w:space="0" w:color="auto"/>
            </w:tcBorders>
            <w:shd w:val="clear" w:color="auto" w:fill="auto"/>
            <w:vAlign w:val="bottom"/>
            <w:hideMark/>
          </w:tcPr>
          <w:p w14:paraId="510C04EF" w14:textId="43D40B85" w:rsidR="00E5252A" w:rsidRPr="00E5252A" w:rsidRDefault="00AA18F6" w:rsidP="00E5252A">
            <w:pPr>
              <w:spacing w:after="0" w:line="240" w:lineRule="auto"/>
              <w:jc w:val="left"/>
              <w:rPr>
                <w:rFonts w:ascii="Times New Roman" w:hAnsi="Times New Roman"/>
                <w:color w:val="000000"/>
                <w:sz w:val="20"/>
                <w:szCs w:val="20"/>
                <w:lang w:val="es-CL" w:eastAsia="es-CL"/>
              </w:rPr>
            </w:pPr>
            <w:r>
              <w:rPr>
                <w:rFonts w:ascii="Times New Roman" w:hAnsi="Times New Roman"/>
                <w:color w:val="000000"/>
                <w:sz w:val="20"/>
                <w:szCs w:val="20"/>
                <w:lang w:val="es-CL" w:eastAsia="es-CL"/>
              </w:rPr>
              <w:t>-</w:t>
            </w:r>
          </w:p>
        </w:tc>
        <w:tc>
          <w:tcPr>
            <w:tcW w:w="711" w:type="dxa"/>
            <w:tcBorders>
              <w:top w:val="nil"/>
              <w:left w:val="nil"/>
              <w:bottom w:val="single" w:sz="4" w:space="0" w:color="auto"/>
              <w:right w:val="single" w:sz="4" w:space="0" w:color="auto"/>
            </w:tcBorders>
            <w:shd w:val="clear" w:color="auto" w:fill="auto"/>
            <w:vAlign w:val="bottom"/>
            <w:hideMark/>
          </w:tcPr>
          <w:p w14:paraId="552615AC" w14:textId="561EDD03" w:rsidR="00E5252A" w:rsidRPr="00E5252A" w:rsidRDefault="00AA18F6" w:rsidP="00E5252A">
            <w:pPr>
              <w:spacing w:after="0" w:line="240" w:lineRule="auto"/>
              <w:jc w:val="left"/>
              <w:rPr>
                <w:rFonts w:ascii="Times New Roman" w:hAnsi="Times New Roman"/>
                <w:color w:val="000000"/>
                <w:sz w:val="20"/>
                <w:szCs w:val="20"/>
                <w:lang w:val="es-CL" w:eastAsia="es-CL"/>
              </w:rPr>
            </w:pPr>
            <w:r>
              <w:rPr>
                <w:rFonts w:ascii="Times New Roman" w:hAnsi="Times New Roman"/>
                <w:color w:val="000000"/>
                <w:sz w:val="20"/>
                <w:szCs w:val="20"/>
                <w:lang w:val="es-CL" w:eastAsia="es-CL"/>
              </w:rPr>
              <w:t>-</w:t>
            </w:r>
          </w:p>
        </w:tc>
      </w:tr>
      <w:tr w:rsidR="003015F8" w:rsidRPr="00E5252A" w14:paraId="22469E1B" w14:textId="77777777" w:rsidTr="003015F8">
        <w:trPr>
          <w:trHeight w:val="287"/>
        </w:trPr>
        <w:tc>
          <w:tcPr>
            <w:tcW w:w="864" w:type="dxa"/>
            <w:tcBorders>
              <w:top w:val="nil"/>
              <w:left w:val="single" w:sz="4" w:space="0" w:color="auto"/>
              <w:bottom w:val="single" w:sz="4" w:space="0" w:color="auto"/>
              <w:right w:val="single" w:sz="4" w:space="0" w:color="auto"/>
            </w:tcBorders>
            <w:shd w:val="clear" w:color="auto" w:fill="auto"/>
            <w:vAlign w:val="bottom"/>
            <w:hideMark/>
          </w:tcPr>
          <w:p w14:paraId="573A7F78"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C</w:t>
            </w:r>
          </w:p>
        </w:tc>
        <w:tc>
          <w:tcPr>
            <w:tcW w:w="1403" w:type="dxa"/>
            <w:tcBorders>
              <w:top w:val="nil"/>
              <w:left w:val="nil"/>
              <w:bottom w:val="single" w:sz="4" w:space="0" w:color="auto"/>
              <w:right w:val="single" w:sz="4" w:space="0" w:color="auto"/>
            </w:tcBorders>
            <w:shd w:val="clear" w:color="auto" w:fill="auto"/>
            <w:vAlign w:val="bottom"/>
            <w:hideMark/>
          </w:tcPr>
          <w:p w14:paraId="7A390C96"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Valparaíso</w:t>
            </w:r>
          </w:p>
        </w:tc>
        <w:tc>
          <w:tcPr>
            <w:tcW w:w="1185" w:type="dxa"/>
            <w:tcBorders>
              <w:top w:val="nil"/>
              <w:left w:val="nil"/>
              <w:bottom w:val="single" w:sz="4" w:space="0" w:color="auto"/>
              <w:right w:val="single" w:sz="4" w:space="0" w:color="auto"/>
            </w:tcBorders>
            <w:shd w:val="clear" w:color="auto" w:fill="auto"/>
            <w:vAlign w:val="bottom"/>
            <w:hideMark/>
          </w:tcPr>
          <w:p w14:paraId="79A4C934"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940" w:type="dxa"/>
            <w:tcBorders>
              <w:top w:val="nil"/>
              <w:left w:val="nil"/>
              <w:bottom w:val="single" w:sz="4" w:space="0" w:color="auto"/>
              <w:right w:val="single" w:sz="4" w:space="0" w:color="auto"/>
            </w:tcBorders>
            <w:shd w:val="clear" w:color="auto" w:fill="auto"/>
            <w:vAlign w:val="bottom"/>
            <w:hideMark/>
          </w:tcPr>
          <w:p w14:paraId="41C7D3B1"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1273" w:type="dxa"/>
            <w:tcBorders>
              <w:top w:val="nil"/>
              <w:left w:val="nil"/>
              <w:bottom w:val="single" w:sz="4" w:space="0" w:color="auto"/>
              <w:right w:val="single" w:sz="4" w:space="0" w:color="auto"/>
            </w:tcBorders>
            <w:shd w:val="clear" w:color="auto" w:fill="auto"/>
            <w:vAlign w:val="bottom"/>
            <w:hideMark/>
          </w:tcPr>
          <w:p w14:paraId="2A10F442"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1276" w:type="dxa"/>
            <w:tcBorders>
              <w:top w:val="nil"/>
              <w:left w:val="nil"/>
              <w:bottom w:val="single" w:sz="4" w:space="0" w:color="auto"/>
              <w:right w:val="single" w:sz="4" w:space="0" w:color="auto"/>
            </w:tcBorders>
            <w:shd w:val="clear" w:color="auto" w:fill="auto"/>
            <w:vAlign w:val="bottom"/>
            <w:hideMark/>
          </w:tcPr>
          <w:p w14:paraId="67776257"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968" w:type="dxa"/>
            <w:tcBorders>
              <w:top w:val="nil"/>
              <w:left w:val="nil"/>
              <w:bottom w:val="single" w:sz="4" w:space="0" w:color="auto"/>
              <w:right w:val="single" w:sz="4" w:space="0" w:color="auto"/>
            </w:tcBorders>
            <w:shd w:val="clear" w:color="auto" w:fill="auto"/>
            <w:vAlign w:val="bottom"/>
            <w:hideMark/>
          </w:tcPr>
          <w:p w14:paraId="6A047FB1" w14:textId="3585FC8B" w:rsidR="00E5252A" w:rsidRPr="00E5252A" w:rsidRDefault="00AA18F6" w:rsidP="00E5252A">
            <w:pPr>
              <w:spacing w:after="0" w:line="240" w:lineRule="auto"/>
              <w:jc w:val="left"/>
              <w:rPr>
                <w:rFonts w:ascii="Times New Roman" w:hAnsi="Times New Roman"/>
                <w:color w:val="000000"/>
                <w:sz w:val="20"/>
                <w:szCs w:val="20"/>
                <w:lang w:val="es-CL" w:eastAsia="es-CL"/>
              </w:rPr>
            </w:pPr>
            <w:r>
              <w:rPr>
                <w:rFonts w:ascii="Times New Roman" w:hAnsi="Times New Roman"/>
                <w:color w:val="000000"/>
                <w:sz w:val="20"/>
                <w:szCs w:val="20"/>
                <w:lang w:val="es-CL" w:eastAsia="es-CL"/>
              </w:rPr>
              <w:t>-</w:t>
            </w:r>
          </w:p>
        </w:tc>
        <w:tc>
          <w:tcPr>
            <w:tcW w:w="711" w:type="dxa"/>
            <w:tcBorders>
              <w:top w:val="nil"/>
              <w:left w:val="nil"/>
              <w:bottom w:val="single" w:sz="4" w:space="0" w:color="auto"/>
              <w:right w:val="single" w:sz="4" w:space="0" w:color="auto"/>
            </w:tcBorders>
            <w:shd w:val="clear" w:color="auto" w:fill="auto"/>
            <w:vAlign w:val="bottom"/>
            <w:hideMark/>
          </w:tcPr>
          <w:p w14:paraId="49A38C35" w14:textId="6AF5CC16" w:rsidR="00E5252A" w:rsidRPr="00E5252A" w:rsidRDefault="00AA18F6" w:rsidP="00E5252A">
            <w:pPr>
              <w:spacing w:after="0" w:line="240" w:lineRule="auto"/>
              <w:jc w:val="left"/>
              <w:rPr>
                <w:rFonts w:ascii="Times New Roman" w:hAnsi="Times New Roman"/>
                <w:color w:val="000000"/>
                <w:sz w:val="20"/>
                <w:szCs w:val="20"/>
                <w:lang w:val="es-CL" w:eastAsia="es-CL"/>
              </w:rPr>
            </w:pPr>
            <w:r>
              <w:rPr>
                <w:rFonts w:ascii="Times New Roman" w:hAnsi="Times New Roman"/>
                <w:color w:val="000000"/>
                <w:sz w:val="20"/>
                <w:szCs w:val="20"/>
                <w:lang w:val="es-CL" w:eastAsia="es-CL"/>
              </w:rPr>
              <w:t>-</w:t>
            </w:r>
          </w:p>
        </w:tc>
      </w:tr>
      <w:tr w:rsidR="003015F8" w:rsidRPr="00E5252A" w14:paraId="58399E6A" w14:textId="77777777" w:rsidTr="003015F8">
        <w:trPr>
          <w:trHeight w:val="287"/>
        </w:trPr>
        <w:tc>
          <w:tcPr>
            <w:tcW w:w="864" w:type="dxa"/>
            <w:tcBorders>
              <w:top w:val="nil"/>
              <w:left w:val="single" w:sz="4" w:space="0" w:color="auto"/>
              <w:bottom w:val="single" w:sz="4" w:space="0" w:color="auto"/>
              <w:right w:val="single" w:sz="4" w:space="0" w:color="auto"/>
            </w:tcBorders>
            <w:shd w:val="clear" w:color="auto" w:fill="auto"/>
            <w:vAlign w:val="bottom"/>
            <w:hideMark/>
          </w:tcPr>
          <w:p w14:paraId="0A2C24EA"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D</w:t>
            </w:r>
          </w:p>
        </w:tc>
        <w:tc>
          <w:tcPr>
            <w:tcW w:w="1403" w:type="dxa"/>
            <w:tcBorders>
              <w:top w:val="nil"/>
              <w:left w:val="nil"/>
              <w:bottom w:val="single" w:sz="4" w:space="0" w:color="auto"/>
              <w:right w:val="single" w:sz="4" w:space="0" w:color="auto"/>
            </w:tcBorders>
            <w:shd w:val="clear" w:color="auto" w:fill="auto"/>
            <w:vAlign w:val="bottom"/>
            <w:hideMark/>
          </w:tcPr>
          <w:p w14:paraId="5A90D3D6"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Santiago</w:t>
            </w:r>
          </w:p>
        </w:tc>
        <w:tc>
          <w:tcPr>
            <w:tcW w:w="1185" w:type="dxa"/>
            <w:tcBorders>
              <w:top w:val="nil"/>
              <w:left w:val="nil"/>
              <w:bottom w:val="single" w:sz="4" w:space="0" w:color="auto"/>
              <w:right w:val="single" w:sz="4" w:space="0" w:color="auto"/>
            </w:tcBorders>
            <w:shd w:val="clear" w:color="auto" w:fill="auto"/>
            <w:vAlign w:val="bottom"/>
            <w:hideMark/>
          </w:tcPr>
          <w:p w14:paraId="011BA6BE"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940" w:type="dxa"/>
            <w:tcBorders>
              <w:top w:val="nil"/>
              <w:left w:val="nil"/>
              <w:bottom w:val="single" w:sz="4" w:space="0" w:color="auto"/>
              <w:right w:val="single" w:sz="4" w:space="0" w:color="auto"/>
            </w:tcBorders>
            <w:shd w:val="clear" w:color="auto" w:fill="auto"/>
            <w:vAlign w:val="bottom"/>
            <w:hideMark/>
          </w:tcPr>
          <w:p w14:paraId="1CD86D04"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1273" w:type="dxa"/>
            <w:tcBorders>
              <w:top w:val="nil"/>
              <w:left w:val="nil"/>
              <w:bottom w:val="single" w:sz="4" w:space="0" w:color="auto"/>
              <w:right w:val="single" w:sz="4" w:space="0" w:color="auto"/>
            </w:tcBorders>
            <w:shd w:val="clear" w:color="auto" w:fill="auto"/>
            <w:vAlign w:val="bottom"/>
            <w:hideMark/>
          </w:tcPr>
          <w:p w14:paraId="35DAE974"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1276" w:type="dxa"/>
            <w:tcBorders>
              <w:top w:val="nil"/>
              <w:left w:val="nil"/>
              <w:bottom w:val="single" w:sz="4" w:space="0" w:color="auto"/>
              <w:right w:val="single" w:sz="4" w:space="0" w:color="auto"/>
            </w:tcBorders>
            <w:shd w:val="clear" w:color="auto" w:fill="auto"/>
            <w:vAlign w:val="bottom"/>
            <w:hideMark/>
          </w:tcPr>
          <w:p w14:paraId="2A3AD28F"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968" w:type="dxa"/>
            <w:tcBorders>
              <w:top w:val="nil"/>
              <w:left w:val="nil"/>
              <w:bottom w:val="single" w:sz="4" w:space="0" w:color="auto"/>
              <w:right w:val="single" w:sz="4" w:space="0" w:color="auto"/>
            </w:tcBorders>
            <w:shd w:val="clear" w:color="auto" w:fill="auto"/>
            <w:vAlign w:val="bottom"/>
            <w:hideMark/>
          </w:tcPr>
          <w:p w14:paraId="2DAC77CA" w14:textId="33C2949B" w:rsidR="00E5252A" w:rsidRPr="00E5252A" w:rsidRDefault="00AA18F6" w:rsidP="00E5252A">
            <w:pPr>
              <w:spacing w:after="0" w:line="240" w:lineRule="auto"/>
              <w:jc w:val="left"/>
              <w:rPr>
                <w:rFonts w:ascii="Times New Roman" w:hAnsi="Times New Roman"/>
                <w:color w:val="000000"/>
                <w:sz w:val="20"/>
                <w:szCs w:val="20"/>
                <w:lang w:val="es-CL" w:eastAsia="es-CL"/>
              </w:rPr>
            </w:pPr>
            <w:r>
              <w:rPr>
                <w:rFonts w:ascii="Times New Roman" w:hAnsi="Times New Roman"/>
                <w:color w:val="000000"/>
                <w:sz w:val="20"/>
                <w:szCs w:val="20"/>
                <w:lang w:val="es-CL" w:eastAsia="es-CL"/>
              </w:rPr>
              <w:t>-</w:t>
            </w:r>
          </w:p>
        </w:tc>
        <w:tc>
          <w:tcPr>
            <w:tcW w:w="711" w:type="dxa"/>
            <w:tcBorders>
              <w:top w:val="nil"/>
              <w:left w:val="nil"/>
              <w:bottom w:val="single" w:sz="4" w:space="0" w:color="auto"/>
              <w:right w:val="single" w:sz="4" w:space="0" w:color="auto"/>
            </w:tcBorders>
            <w:shd w:val="clear" w:color="auto" w:fill="auto"/>
            <w:vAlign w:val="bottom"/>
            <w:hideMark/>
          </w:tcPr>
          <w:p w14:paraId="4C7C50EE"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r>
      <w:tr w:rsidR="003015F8" w:rsidRPr="00E5252A" w14:paraId="61A78D6F" w14:textId="77777777" w:rsidTr="003015F8">
        <w:trPr>
          <w:trHeight w:val="287"/>
        </w:trPr>
        <w:tc>
          <w:tcPr>
            <w:tcW w:w="864" w:type="dxa"/>
            <w:tcBorders>
              <w:top w:val="nil"/>
              <w:left w:val="single" w:sz="4" w:space="0" w:color="auto"/>
              <w:bottom w:val="single" w:sz="4" w:space="0" w:color="auto"/>
              <w:right w:val="single" w:sz="4" w:space="0" w:color="auto"/>
            </w:tcBorders>
            <w:shd w:val="clear" w:color="auto" w:fill="auto"/>
            <w:vAlign w:val="bottom"/>
            <w:hideMark/>
          </w:tcPr>
          <w:p w14:paraId="357F2E30"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E</w:t>
            </w:r>
          </w:p>
        </w:tc>
        <w:tc>
          <w:tcPr>
            <w:tcW w:w="1403" w:type="dxa"/>
            <w:tcBorders>
              <w:top w:val="nil"/>
              <w:left w:val="nil"/>
              <w:bottom w:val="single" w:sz="4" w:space="0" w:color="auto"/>
              <w:right w:val="single" w:sz="4" w:space="0" w:color="auto"/>
            </w:tcBorders>
            <w:shd w:val="clear" w:color="auto" w:fill="auto"/>
            <w:vAlign w:val="bottom"/>
            <w:hideMark/>
          </w:tcPr>
          <w:p w14:paraId="6B1BAD91"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Concepción</w:t>
            </w:r>
          </w:p>
        </w:tc>
        <w:tc>
          <w:tcPr>
            <w:tcW w:w="1185" w:type="dxa"/>
            <w:tcBorders>
              <w:top w:val="nil"/>
              <w:left w:val="nil"/>
              <w:bottom w:val="single" w:sz="4" w:space="0" w:color="auto"/>
              <w:right w:val="single" w:sz="4" w:space="0" w:color="auto"/>
            </w:tcBorders>
            <w:shd w:val="clear" w:color="auto" w:fill="auto"/>
            <w:vAlign w:val="bottom"/>
            <w:hideMark/>
          </w:tcPr>
          <w:p w14:paraId="1FDE947B"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940" w:type="dxa"/>
            <w:tcBorders>
              <w:top w:val="nil"/>
              <w:left w:val="nil"/>
              <w:bottom w:val="single" w:sz="4" w:space="0" w:color="auto"/>
              <w:right w:val="single" w:sz="4" w:space="0" w:color="auto"/>
            </w:tcBorders>
            <w:shd w:val="clear" w:color="auto" w:fill="auto"/>
            <w:vAlign w:val="bottom"/>
            <w:hideMark/>
          </w:tcPr>
          <w:p w14:paraId="38F2EF74"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1273" w:type="dxa"/>
            <w:tcBorders>
              <w:top w:val="nil"/>
              <w:left w:val="nil"/>
              <w:bottom w:val="single" w:sz="4" w:space="0" w:color="auto"/>
              <w:right w:val="single" w:sz="4" w:space="0" w:color="auto"/>
            </w:tcBorders>
            <w:shd w:val="clear" w:color="auto" w:fill="auto"/>
            <w:vAlign w:val="bottom"/>
            <w:hideMark/>
          </w:tcPr>
          <w:p w14:paraId="5AD8F487"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1276" w:type="dxa"/>
            <w:tcBorders>
              <w:top w:val="nil"/>
              <w:left w:val="nil"/>
              <w:bottom w:val="single" w:sz="4" w:space="0" w:color="auto"/>
              <w:right w:val="single" w:sz="4" w:space="0" w:color="auto"/>
            </w:tcBorders>
            <w:shd w:val="clear" w:color="auto" w:fill="auto"/>
            <w:vAlign w:val="bottom"/>
            <w:hideMark/>
          </w:tcPr>
          <w:p w14:paraId="5029D282"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968" w:type="dxa"/>
            <w:tcBorders>
              <w:top w:val="nil"/>
              <w:left w:val="nil"/>
              <w:bottom w:val="single" w:sz="4" w:space="0" w:color="auto"/>
              <w:right w:val="single" w:sz="4" w:space="0" w:color="auto"/>
            </w:tcBorders>
            <w:shd w:val="clear" w:color="auto" w:fill="auto"/>
            <w:vAlign w:val="bottom"/>
            <w:hideMark/>
          </w:tcPr>
          <w:p w14:paraId="6F7D9B8B"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711" w:type="dxa"/>
            <w:tcBorders>
              <w:top w:val="nil"/>
              <w:left w:val="nil"/>
              <w:bottom w:val="single" w:sz="4" w:space="0" w:color="auto"/>
              <w:right w:val="single" w:sz="4" w:space="0" w:color="auto"/>
            </w:tcBorders>
            <w:shd w:val="clear" w:color="auto" w:fill="auto"/>
            <w:vAlign w:val="bottom"/>
            <w:hideMark/>
          </w:tcPr>
          <w:p w14:paraId="40C506ED"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r>
      <w:tr w:rsidR="003015F8" w:rsidRPr="00E5252A" w14:paraId="6424962D" w14:textId="77777777" w:rsidTr="003015F8">
        <w:trPr>
          <w:trHeight w:val="287"/>
        </w:trPr>
        <w:tc>
          <w:tcPr>
            <w:tcW w:w="864" w:type="dxa"/>
            <w:tcBorders>
              <w:top w:val="nil"/>
              <w:left w:val="single" w:sz="4" w:space="0" w:color="auto"/>
              <w:bottom w:val="single" w:sz="4" w:space="0" w:color="auto"/>
              <w:right w:val="single" w:sz="4" w:space="0" w:color="auto"/>
            </w:tcBorders>
            <w:shd w:val="clear" w:color="auto" w:fill="auto"/>
            <w:vAlign w:val="bottom"/>
            <w:hideMark/>
          </w:tcPr>
          <w:p w14:paraId="73E9C545"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F</w:t>
            </w:r>
          </w:p>
        </w:tc>
        <w:tc>
          <w:tcPr>
            <w:tcW w:w="1403" w:type="dxa"/>
            <w:tcBorders>
              <w:top w:val="nil"/>
              <w:left w:val="nil"/>
              <w:bottom w:val="single" w:sz="4" w:space="0" w:color="auto"/>
              <w:right w:val="single" w:sz="4" w:space="0" w:color="auto"/>
            </w:tcBorders>
            <w:shd w:val="clear" w:color="auto" w:fill="auto"/>
            <w:vAlign w:val="bottom"/>
            <w:hideMark/>
          </w:tcPr>
          <w:p w14:paraId="6A41E21F"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Temuco</w:t>
            </w:r>
          </w:p>
        </w:tc>
        <w:tc>
          <w:tcPr>
            <w:tcW w:w="1185" w:type="dxa"/>
            <w:tcBorders>
              <w:top w:val="nil"/>
              <w:left w:val="nil"/>
              <w:bottom w:val="single" w:sz="4" w:space="0" w:color="auto"/>
              <w:right w:val="single" w:sz="4" w:space="0" w:color="auto"/>
            </w:tcBorders>
            <w:shd w:val="clear" w:color="auto" w:fill="auto"/>
            <w:vAlign w:val="bottom"/>
            <w:hideMark/>
          </w:tcPr>
          <w:p w14:paraId="7C8CBB6A"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940" w:type="dxa"/>
            <w:tcBorders>
              <w:top w:val="nil"/>
              <w:left w:val="nil"/>
              <w:bottom w:val="single" w:sz="4" w:space="0" w:color="auto"/>
              <w:right w:val="single" w:sz="4" w:space="0" w:color="auto"/>
            </w:tcBorders>
            <w:shd w:val="clear" w:color="auto" w:fill="auto"/>
            <w:vAlign w:val="bottom"/>
            <w:hideMark/>
          </w:tcPr>
          <w:p w14:paraId="3DFED0E3"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1273" w:type="dxa"/>
            <w:tcBorders>
              <w:top w:val="nil"/>
              <w:left w:val="nil"/>
              <w:bottom w:val="single" w:sz="4" w:space="0" w:color="auto"/>
              <w:right w:val="single" w:sz="4" w:space="0" w:color="auto"/>
            </w:tcBorders>
            <w:shd w:val="clear" w:color="auto" w:fill="auto"/>
            <w:vAlign w:val="bottom"/>
            <w:hideMark/>
          </w:tcPr>
          <w:p w14:paraId="73A06635"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1276" w:type="dxa"/>
            <w:tcBorders>
              <w:top w:val="nil"/>
              <w:left w:val="nil"/>
              <w:bottom w:val="single" w:sz="4" w:space="0" w:color="auto"/>
              <w:right w:val="single" w:sz="4" w:space="0" w:color="auto"/>
            </w:tcBorders>
            <w:shd w:val="clear" w:color="auto" w:fill="auto"/>
            <w:vAlign w:val="bottom"/>
            <w:hideMark/>
          </w:tcPr>
          <w:p w14:paraId="6B7E05F9"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968" w:type="dxa"/>
            <w:tcBorders>
              <w:top w:val="nil"/>
              <w:left w:val="nil"/>
              <w:bottom w:val="single" w:sz="4" w:space="0" w:color="auto"/>
              <w:right w:val="single" w:sz="4" w:space="0" w:color="auto"/>
            </w:tcBorders>
            <w:shd w:val="clear" w:color="auto" w:fill="auto"/>
            <w:vAlign w:val="bottom"/>
            <w:hideMark/>
          </w:tcPr>
          <w:p w14:paraId="5CB81213"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711" w:type="dxa"/>
            <w:tcBorders>
              <w:top w:val="nil"/>
              <w:left w:val="nil"/>
              <w:bottom w:val="single" w:sz="4" w:space="0" w:color="auto"/>
              <w:right w:val="single" w:sz="4" w:space="0" w:color="auto"/>
            </w:tcBorders>
            <w:shd w:val="clear" w:color="auto" w:fill="auto"/>
            <w:vAlign w:val="bottom"/>
            <w:hideMark/>
          </w:tcPr>
          <w:p w14:paraId="1C9A3D0B"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r>
      <w:tr w:rsidR="003015F8" w:rsidRPr="00E5252A" w14:paraId="7F2BF2CA" w14:textId="77777777" w:rsidTr="003015F8">
        <w:trPr>
          <w:trHeight w:val="287"/>
        </w:trPr>
        <w:tc>
          <w:tcPr>
            <w:tcW w:w="864" w:type="dxa"/>
            <w:tcBorders>
              <w:top w:val="nil"/>
              <w:left w:val="single" w:sz="4" w:space="0" w:color="auto"/>
              <w:bottom w:val="single" w:sz="4" w:space="0" w:color="auto"/>
              <w:right w:val="single" w:sz="4" w:space="0" w:color="auto"/>
            </w:tcBorders>
            <w:shd w:val="clear" w:color="auto" w:fill="auto"/>
            <w:vAlign w:val="bottom"/>
            <w:hideMark/>
          </w:tcPr>
          <w:p w14:paraId="6AA22B9D"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G</w:t>
            </w:r>
          </w:p>
        </w:tc>
        <w:tc>
          <w:tcPr>
            <w:tcW w:w="1403" w:type="dxa"/>
            <w:tcBorders>
              <w:top w:val="nil"/>
              <w:left w:val="nil"/>
              <w:bottom w:val="single" w:sz="4" w:space="0" w:color="auto"/>
              <w:right w:val="single" w:sz="4" w:space="0" w:color="auto"/>
            </w:tcBorders>
            <w:shd w:val="clear" w:color="auto" w:fill="auto"/>
            <w:vAlign w:val="bottom"/>
            <w:hideMark/>
          </w:tcPr>
          <w:p w14:paraId="6A701C1F"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Puerto Montt</w:t>
            </w:r>
          </w:p>
        </w:tc>
        <w:tc>
          <w:tcPr>
            <w:tcW w:w="1185" w:type="dxa"/>
            <w:tcBorders>
              <w:top w:val="nil"/>
              <w:left w:val="nil"/>
              <w:bottom w:val="single" w:sz="4" w:space="0" w:color="auto"/>
              <w:right w:val="single" w:sz="4" w:space="0" w:color="auto"/>
            </w:tcBorders>
            <w:shd w:val="clear" w:color="auto" w:fill="auto"/>
            <w:vAlign w:val="bottom"/>
            <w:hideMark/>
          </w:tcPr>
          <w:p w14:paraId="69F3B54A"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940" w:type="dxa"/>
            <w:tcBorders>
              <w:top w:val="nil"/>
              <w:left w:val="nil"/>
              <w:bottom w:val="single" w:sz="4" w:space="0" w:color="auto"/>
              <w:right w:val="single" w:sz="4" w:space="0" w:color="auto"/>
            </w:tcBorders>
            <w:shd w:val="clear" w:color="auto" w:fill="auto"/>
            <w:vAlign w:val="bottom"/>
            <w:hideMark/>
          </w:tcPr>
          <w:p w14:paraId="457EC487"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1273" w:type="dxa"/>
            <w:tcBorders>
              <w:top w:val="nil"/>
              <w:left w:val="nil"/>
              <w:bottom w:val="single" w:sz="4" w:space="0" w:color="auto"/>
              <w:right w:val="single" w:sz="4" w:space="0" w:color="auto"/>
            </w:tcBorders>
            <w:shd w:val="clear" w:color="auto" w:fill="auto"/>
            <w:vAlign w:val="bottom"/>
            <w:hideMark/>
          </w:tcPr>
          <w:p w14:paraId="2B46576B"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1276" w:type="dxa"/>
            <w:tcBorders>
              <w:top w:val="nil"/>
              <w:left w:val="nil"/>
              <w:bottom w:val="single" w:sz="4" w:space="0" w:color="auto"/>
              <w:right w:val="single" w:sz="4" w:space="0" w:color="auto"/>
            </w:tcBorders>
            <w:shd w:val="clear" w:color="auto" w:fill="auto"/>
            <w:vAlign w:val="bottom"/>
            <w:hideMark/>
          </w:tcPr>
          <w:p w14:paraId="44947EAF"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968" w:type="dxa"/>
            <w:tcBorders>
              <w:top w:val="nil"/>
              <w:left w:val="nil"/>
              <w:bottom w:val="single" w:sz="4" w:space="0" w:color="auto"/>
              <w:right w:val="single" w:sz="4" w:space="0" w:color="auto"/>
            </w:tcBorders>
            <w:shd w:val="clear" w:color="auto" w:fill="auto"/>
            <w:vAlign w:val="bottom"/>
            <w:hideMark/>
          </w:tcPr>
          <w:p w14:paraId="0FCCDF1C"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711" w:type="dxa"/>
            <w:tcBorders>
              <w:top w:val="nil"/>
              <w:left w:val="nil"/>
              <w:bottom w:val="single" w:sz="4" w:space="0" w:color="auto"/>
              <w:right w:val="single" w:sz="4" w:space="0" w:color="auto"/>
            </w:tcBorders>
            <w:shd w:val="clear" w:color="auto" w:fill="auto"/>
            <w:vAlign w:val="bottom"/>
            <w:hideMark/>
          </w:tcPr>
          <w:p w14:paraId="4197FF5A"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r>
      <w:tr w:rsidR="003015F8" w:rsidRPr="00E5252A" w14:paraId="281DA1C9" w14:textId="77777777" w:rsidTr="003015F8">
        <w:trPr>
          <w:trHeight w:val="574"/>
        </w:trPr>
        <w:tc>
          <w:tcPr>
            <w:tcW w:w="864" w:type="dxa"/>
            <w:tcBorders>
              <w:top w:val="nil"/>
              <w:left w:val="single" w:sz="4" w:space="0" w:color="auto"/>
              <w:bottom w:val="single" w:sz="4" w:space="0" w:color="auto"/>
              <w:right w:val="single" w:sz="4" w:space="0" w:color="auto"/>
            </w:tcBorders>
            <w:shd w:val="clear" w:color="auto" w:fill="auto"/>
            <w:vAlign w:val="bottom"/>
            <w:hideMark/>
          </w:tcPr>
          <w:p w14:paraId="540E1A14"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H</w:t>
            </w:r>
          </w:p>
        </w:tc>
        <w:tc>
          <w:tcPr>
            <w:tcW w:w="1403" w:type="dxa"/>
            <w:tcBorders>
              <w:top w:val="nil"/>
              <w:left w:val="nil"/>
              <w:bottom w:val="single" w:sz="4" w:space="0" w:color="auto"/>
              <w:right w:val="single" w:sz="4" w:space="0" w:color="auto"/>
            </w:tcBorders>
            <w:shd w:val="clear" w:color="auto" w:fill="auto"/>
            <w:vAlign w:val="bottom"/>
            <w:hideMark/>
          </w:tcPr>
          <w:p w14:paraId="3C0B6448"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Los Andes (Montaña)</w:t>
            </w:r>
          </w:p>
        </w:tc>
        <w:tc>
          <w:tcPr>
            <w:tcW w:w="1185" w:type="dxa"/>
            <w:tcBorders>
              <w:top w:val="nil"/>
              <w:left w:val="nil"/>
              <w:bottom w:val="single" w:sz="4" w:space="0" w:color="auto"/>
              <w:right w:val="single" w:sz="4" w:space="0" w:color="auto"/>
            </w:tcBorders>
            <w:shd w:val="clear" w:color="auto" w:fill="auto"/>
            <w:vAlign w:val="bottom"/>
            <w:hideMark/>
          </w:tcPr>
          <w:p w14:paraId="1C12F108"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940" w:type="dxa"/>
            <w:tcBorders>
              <w:top w:val="nil"/>
              <w:left w:val="nil"/>
              <w:bottom w:val="single" w:sz="4" w:space="0" w:color="auto"/>
              <w:right w:val="single" w:sz="4" w:space="0" w:color="auto"/>
            </w:tcBorders>
            <w:shd w:val="clear" w:color="auto" w:fill="auto"/>
            <w:vAlign w:val="bottom"/>
            <w:hideMark/>
          </w:tcPr>
          <w:p w14:paraId="1DB56F57"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1273" w:type="dxa"/>
            <w:tcBorders>
              <w:top w:val="nil"/>
              <w:left w:val="nil"/>
              <w:bottom w:val="single" w:sz="4" w:space="0" w:color="auto"/>
              <w:right w:val="single" w:sz="4" w:space="0" w:color="auto"/>
            </w:tcBorders>
            <w:shd w:val="clear" w:color="auto" w:fill="auto"/>
            <w:vAlign w:val="bottom"/>
            <w:hideMark/>
          </w:tcPr>
          <w:p w14:paraId="547D0F42"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1276" w:type="dxa"/>
            <w:tcBorders>
              <w:top w:val="nil"/>
              <w:left w:val="nil"/>
              <w:bottom w:val="single" w:sz="4" w:space="0" w:color="auto"/>
              <w:right w:val="single" w:sz="4" w:space="0" w:color="auto"/>
            </w:tcBorders>
            <w:shd w:val="clear" w:color="auto" w:fill="auto"/>
            <w:vAlign w:val="bottom"/>
            <w:hideMark/>
          </w:tcPr>
          <w:p w14:paraId="5CBF28B9"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968" w:type="dxa"/>
            <w:tcBorders>
              <w:top w:val="nil"/>
              <w:left w:val="nil"/>
              <w:bottom w:val="single" w:sz="4" w:space="0" w:color="auto"/>
              <w:right w:val="single" w:sz="4" w:space="0" w:color="auto"/>
            </w:tcBorders>
            <w:shd w:val="clear" w:color="auto" w:fill="auto"/>
            <w:vAlign w:val="bottom"/>
            <w:hideMark/>
          </w:tcPr>
          <w:p w14:paraId="2C8A2191"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711" w:type="dxa"/>
            <w:tcBorders>
              <w:top w:val="nil"/>
              <w:left w:val="nil"/>
              <w:bottom w:val="single" w:sz="4" w:space="0" w:color="auto"/>
              <w:right w:val="single" w:sz="4" w:space="0" w:color="auto"/>
            </w:tcBorders>
            <w:shd w:val="clear" w:color="auto" w:fill="auto"/>
            <w:vAlign w:val="bottom"/>
            <w:hideMark/>
          </w:tcPr>
          <w:p w14:paraId="4A3681C8"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r>
      <w:tr w:rsidR="003015F8" w:rsidRPr="00E5252A" w14:paraId="336642B0" w14:textId="77777777" w:rsidTr="003015F8">
        <w:trPr>
          <w:trHeight w:val="287"/>
        </w:trPr>
        <w:tc>
          <w:tcPr>
            <w:tcW w:w="864" w:type="dxa"/>
            <w:tcBorders>
              <w:top w:val="nil"/>
              <w:left w:val="single" w:sz="4" w:space="0" w:color="auto"/>
              <w:bottom w:val="single" w:sz="4" w:space="0" w:color="auto"/>
              <w:right w:val="single" w:sz="4" w:space="0" w:color="auto"/>
            </w:tcBorders>
            <w:shd w:val="clear" w:color="auto" w:fill="auto"/>
            <w:vAlign w:val="bottom"/>
            <w:hideMark/>
          </w:tcPr>
          <w:p w14:paraId="13D4647A"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I</w:t>
            </w:r>
          </w:p>
        </w:tc>
        <w:tc>
          <w:tcPr>
            <w:tcW w:w="1403" w:type="dxa"/>
            <w:tcBorders>
              <w:top w:val="nil"/>
              <w:left w:val="nil"/>
              <w:bottom w:val="single" w:sz="4" w:space="0" w:color="auto"/>
              <w:right w:val="single" w:sz="4" w:space="0" w:color="auto"/>
            </w:tcBorders>
            <w:shd w:val="clear" w:color="auto" w:fill="auto"/>
            <w:vAlign w:val="bottom"/>
            <w:hideMark/>
          </w:tcPr>
          <w:p w14:paraId="561F6899"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Punta Arenas</w:t>
            </w:r>
          </w:p>
        </w:tc>
        <w:tc>
          <w:tcPr>
            <w:tcW w:w="1185" w:type="dxa"/>
            <w:tcBorders>
              <w:top w:val="nil"/>
              <w:left w:val="nil"/>
              <w:bottom w:val="single" w:sz="4" w:space="0" w:color="auto"/>
              <w:right w:val="single" w:sz="4" w:space="0" w:color="auto"/>
            </w:tcBorders>
            <w:shd w:val="clear" w:color="auto" w:fill="auto"/>
            <w:vAlign w:val="bottom"/>
            <w:hideMark/>
          </w:tcPr>
          <w:p w14:paraId="0DFC8BFA"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940" w:type="dxa"/>
            <w:tcBorders>
              <w:top w:val="nil"/>
              <w:left w:val="nil"/>
              <w:bottom w:val="single" w:sz="4" w:space="0" w:color="auto"/>
              <w:right w:val="single" w:sz="4" w:space="0" w:color="auto"/>
            </w:tcBorders>
            <w:shd w:val="clear" w:color="auto" w:fill="auto"/>
            <w:vAlign w:val="bottom"/>
            <w:hideMark/>
          </w:tcPr>
          <w:p w14:paraId="2C92B9DB"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1273" w:type="dxa"/>
            <w:tcBorders>
              <w:top w:val="nil"/>
              <w:left w:val="nil"/>
              <w:bottom w:val="single" w:sz="4" w:space="0" w:color="auto"/>
              <w:right w:val="single" w:sz="4" w:space="0" w:color="auto"/>
            </w:tcBorders>
            <w:shd w:val="clear" w:color="auto" w:fill="auto"/>
            <w:vAlign w:val="bottom"/>
            <w:hideMark/>
          </w:tcPr>
          <w:p w14:paraId="13F0DDB4"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1276" w:type="dxa"/>
            <w:tcBorders>
              <w:top w:val="nil"/>
              <w:left w:val="nil"/>
              <w:bottom w:val="single" w:sz="4" w:space="0" w:color="auto"/>
              <w:right w:val="single" w:sz="4" w:space="0" w:color="auto"/>
            </w:tcBorders>
            <w:shd w:val="clear" w:color="auto" w:fill="auto"/>
            <w:vAlign w:val="bottom"/>
            <w:hideMark/>
          </w:tcPr>
          <w:p w14:paraId="1A75FF63"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968" w:type="dxa"/>
            <w:tcBorders>
              <w:top w:val="nil"/>
              <w:left w:val="nil"/>
              <w:bottom w:val="single" w:sz="4" w:space="0" w:color="auto"/>
              <w:right w:val="single" w:sz="4" w:space="0" w:color="auto"/>
            </w:tcBorders>
            <w:shd w:val="clear" w:color="auto" w:fill="auto"/>
            <w:vAlign w:val="bottom"/>
            <w:hideMark/>
          </w:tcPr>
          <w:p w14:paraId="3BD326E5"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c>
          <w:tcPr>
            <w:tcW w:w="711" w:type="dxa"/>
            <w:tcBorders>
              <w:top w:val="nil"/>
              <w:left w:val="nil"/>
              <w:bottom w:val="single" w:sz="4" w:space="0" w:color="auto"/>
              <w:right w:val="single" w:sz="4" w:space="0" w:color="auto"/>
            </w:tcBorders>
            <w:shd w:val="clear" w:color="auto" w:fill="auto"/>
            <w:vAlign w:val="bottom"/>
            <w:hideMark/>
          </w:tcPr>
          <w:p w14:paraId="2E88064B" w14:textId="77777777" w:rsidR="00E5252A" w:rsidRPr="00E5252A" w:rsidRDefault="00E5252A" w:rsidP="00E5252A">
            <w:pPr>
              <w:spacing w:after="0" w:line="240" w:lineRule="auto"/>
              <w:jc w:val="left"/>
              <w:rPr>
                <w:rFonts w:ascii="Times New Roman" w:hAnsi="Times New Roman"/>
                <w:color w:val="000000"/>
                <w:sz w:val="20"/>
                <w:szCs w:val="20"/>
                <w:lang w:val="es-CL" w:eastAsia="es-CL"/>
              </w:rPr>
            </w:pPr>
            <w:r w:rsidRPr="00E5252A">
              <w:rPr>
                <w:rFonts w:ascii="Times New Roman" w:hAnsi="Times New Roman"/>
                <w:color w:val="000000"/>
                <w:sz w:val="20"/>
                <w:szCs w:val="20"/>
                <w:lang w:val="es-CL" w:eastAsia="es-CL"/>
              </w:rPr>
              <w:t> </w:t>
            </w:r>
          </w:p>
        </w:tc>
      </w:tr>
    </w:tbl>
    <w:p w14:paraId="52DA668D" w14:textId="1F9D1953" w:rsidR="00D45DCC" w:rsidRDefault="00D45DCC" w:rsidP="00D45DCC">
      <w:pPr>
        <w:tabs>
          <w:tab w:val="left" w:pos="2005"/>
        </w:tabs>
        <w:rPr>
          <w:rFonts w:ascii="Times New Roman" w:hAnsi="Times New Roman"/>
          <w:szCs w:val="24"/>
          <w:lang w:val="es-CL" w:eastAsia="es-CL"/>
        </w:rPr>
      </w:pPr>
    </w:p>
    <w:p w14:paraId="68E1406B" w14:textId="77777777" w:rsidR="00D45DCC" w:rsidRDefault="00D45DCC" w:rsidP="00D45DCC">
      <w:pPr>
        <w:tabs>
          <w:tab w:val="left" w:pos="2005"/>
        </w:tabs>
        <w:rPr>
          <w:rFonts w:ascii="Times New Roman" w:hAnsi="Times New Roman"/>
          <w:szCs w:val="24"/>
          <w:lang w:val="es-CL" w:eastAsia="es-CL"/>
        </w:rPr>
      </w:pPr>
    </w:p>
    <w:p w14:paraId="316CB11A" w14:textId="77777777" w:rsidR="00D45DCC" w:rsidRPr="00D45DCC" w:rsidRDefault="00D45DCC" w:rsidP="004F45C2">
      <w:pPr>
        <w:pStyle w:val="Listaconnmeros"/>
        <w:numPr>
          <w:ilvl w:val="0"/>
          <w:numId w:val="0"/>
        </w:numPr>
        <w:ind w:left="360" w:hanging="360"/>
        <w:rPr>
          <w:lang w:val="es-CL"/>
        </w:rPr>
      </w:pPr>
    </w:p>
    <w:sectPr w:rsidR="00D45DCC" w:rsidRPr="00D45DC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4A0F14"/>
    <w:multiLevelType w:val="multilevel"/>
    <w:tmpl w:val="42D42080"/>
    <w:lvl w:ilvl="0">
      <w:start w:val="1"/>
      <w:numFmt w:val="decimal"/>
      <w:pStyle w:val="Ttulo1"/>
      <w:lvlText w:val="%1"/>
      <w:lvlJc w:val="left"/>
      <w:pPr>
        <w:ind w:left="432" w:hanging="432"/>
      </w:pPr>
    </w:lvl>
    <w:lvl w:ilvl="1">
      <w:start w:val="1"/>
      <w:numFmt w:val="decimal"/>
      <w:lvlText w:val="%1.%2"/>
      <w:lvlJc w:val="left"/>
      <w:pPr>
        <w:ind w:left="576" w:hanging="576"/>
      </w:pPr>
    </w:lvl>
    <w:lvl w:ilvl="2">
      <w:start w:val="1"/>
      <w:numFmt w:val="decimal"/>
      <w:pStyle w:val="Ttulo3"/>
      <w:lvlText w:val="%1.%2.%3"/>
      <w:lvlJc w:val="left"/>
      <w:pPr>
        <w:ind w:left="720" w:hanging="720"/>
      </w:pPr>
      <w:rPr>
        <w:rFonts w:ascii="Times New Roman" w:hAnsi="Times New Roman"/>
        <w:b/>
        <w:bCs/>
        <w:i w:val="0"/>
        <w:iCs w:val="0"/>
        <w:caps w:val="0"/>
        <w:smallCaps w:val="0"/>
        <w:strike w:val="0"/>
        <w:dstrike w:val="0"/>
        <w:outline w:val="0"/>
        <w:shadow w:val="0"/>
        <w:emboss w:val="0"/>
        <w:imprint w:val="0"/>
        <w:color w:val="auto"/>
        <w:spacing w:val="0"/>
        <w:w w:val="100"/>
        <w:kern w:val="0"/>
        <w:position w:val="0"/>
        <w:sz w:val="26"/>
        <w:u w:val="none"/>
        <w:effect w:val="none"/>
        <w:bdr w:val="none" w:sz="0" w:space="0" w:color="auto"/>
        <w:shd w:val="clear" w:color="auto" w:fill="auto"/>
        <w:vertAlign w:val="baseline"/>
        <w:em w:val="none"/>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70247278"/>
    <w:multiLevelType w:val="multilevel"/>
    <w:tmpl w:val="C15201D6"/>
    <w:lvl w:ilvl="0">
      <w:start w:val="1"/>
      <w:numFmt w:val="decimal"/>
      <w:pStyle w:val="Listaconnmeros"/>
      <w:lvlText w:val="%1."/>
      <w:lvlJc w:val="left"/>
      <w:pPr>
        <w:ind w:left="360" w:hanging="360"/>
      </w:pPr>
      <w:rPr>
        <w:rFonts w:hint="default"/>
        <w:b/>
        <w:i w:val="0"/>
        <w:caps w:val="0"/>
        <w:strike w:val="0"/>
        <w:dstrike w:val="0"/>
        <w:vanish w:val="0"/>
        <w:color w:val="000000"/>
        <w:sz w:val="32"/>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Estilo1"/>
      <w:lvlText w:val="%1.%2."/>
      <w:lvlJc w:val="left"/>
      <w:pPr>
        <w:ind w:left="792" w:hanging="432"/>
      </w:pPr>
      <w:rPr>
        <w:rFonts w:hint="default"/>
        <w:b/>
        <w:i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224" w:hanging="504"/>
      </w:pPr>
      <w:rPr>
        <w:rFonts w:hint="default"/>
        <w:b/>
        <w:i w:val="0"/>
        <w:sz w:val="26"/>
        <w:szCs w:val="2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numFmt w:val="none"/>
      <w:lvlText w:val=""/>
      <w:lvlJc w:val="left"/>
      <w:pPr>
        <w:tabs>
          <w:tab w:val="num" w:pos="360"/>
        </w:tabs>
        <w:ind w:left="0" w:firstLine="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939989075">
    <w:abstractNumId w:val="1"/>
  </w:num>
  <w:num w:numId="2" w16cid:durableId="1392076167">
    <w:abstractNumId w:val="0"/>
  </w:num>
  <w:num w:numId="3" w16cid:durableId="14477738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4" w16cid:durableId="8964287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5" w16cid:durableId="3735786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6" w16cid:durableId="9977344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7" w16cid:durableId="18706004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034"/>
    <w:rsid w:val="00000BEB"/>
    <w:rsid w:val="00033C09"/>
    <w:rsid w:val="00090D5F"/>
    <w:rsid w:val="000B7863"/>
    <w:rsid w:val="000D2704"/>
    <w:rsid w:val="000F5470"/>
    <w:rsid w:val="0015621A"/>
    <w:rsid w:val="00173F16"/>
    <w:rsid w:val="001A4AF6"/>
    <w:rsid w:val="00211AD0"/>
    <w:rsid w:val="002636C6"/>
    <w:rsid w:val="002A118F"/>
    <w:rsid w:val="003015F8"/>
    <w:rsid w:val="00302013"/>
    <w:rsid w:val="003153EE"/>
    <w:rsid w:val="003509ED"/>
    <w:rsid w:val="003802F7"/>
    <w:rsid w:val="00391E76"/>
    <w:rsid w:val="004324CA"/>
    <w:rsid w:val="004A56D9"/>
    <w:rsid w:val="004F45C2"/>
    <w:rsid w:val="00532FF8"/>
    <w:rsid w:val="00537F46"/>
    <w:rsid w:val="005666AC"/>
    <w:rsid w:val="00576B2F"/>
    <w:rsid w:val="00582C75"/>
    <w:rsid w:val="0059368F"/>
    <w:rsid w:val="005F5EEA"/>
    <w:rsid w:val="00630466"/>
    <w:rsid w:val="00635F2B"/>
    <w:rsid w:val="006B6632"/>
    <w:rsid w:val="007A32C8"/>
    <w:rsid w:val="007A6E18"/>
    <w:rsid w:val="007C6279"/>
    <w:rsid w:val="007D6755"/>
    <w:rsid w:val="008C34B2"/>
    <w:rsid w:val="008D01C6"/>
    <w:rsid w:val="008E1F38"/>
    <w:rsid w:val="00912B72"/>
    <w:rsid w:val="00945882"/>
    <w:rsid w:val="009A2C98"/>
    <w:rsid w:val="009E76DA"/>
    <w:rsid w:val="009F6F4E"/>
    <w:rsid w:val="00A07B94"/>
    <w:rsid w:val="00A461EB"/>
    <w:rsid w:val="00A72457"/>
    <w:rsid w:val="00A969AD"/>
    <w:rsid w:val="00AA18F6"/>
    <w:rsid w:val="00B62BFF"/>
    <w:rsid w:val="00BC34F3"/>
    <w:rsid w:val="00BE0505"/>
    <w:rsid w:val="00CE595E"/>
    <w:rsid w:val="00D45DCC"/>
    <w:rsid w:val="00D573F6"/>
    <w:rsid w:val="00DA2A40"/>
    <w:rsid w:val="00DA3DAA"/>
    <w:rsid w:val="00DA7FA7"/>
    <w:rsid w:val="00DC569A"/>
    <w:rsid w:val="00DC7069"/>
    <w:rsid w:val="00E5252A"/>
    <w:rsid w:val="00E63034"/>
    <w:rsid w:val="00EA3D08"/>
    <w:rsid w:val="00EA7976"/>
    <w:rsid w:val="00ED15F6"/>
    <w:rsid w:val="00F3547E"/>
    <w:rsid w:val="00F35A2C"/>
    <w:rsid w:val="00F423FB"/>
    <w:rsid w:val="00FB3A4B"/>
    <w:rsid w:val="00FE1ED9"/>
    <w:rsid w:val="00FF23F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2DBD2"/>
  <w15:chartTrackingRefBased/>
  <w15:docId w15:val="{F25D792D-B28E-41A3-A161-FEBE8854E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704"/>
    <w:pPr>
      <w:spacing w:after="200" w:line="360" w:lineRule="auto"/>
      <w:jc w:val="both"/>
    </w:pPr>
    <w:rPr>
      <w:rFonts w:ascii="Arial" w:eastAsia="Times New Roman" w:hAnsi="Arial" w:cs="Times New Roman"/>
      <w:sz w:val="24"/>
      <w:lang w:val="es-ES"/>
    </w:rPr>
  </w:style>
  <w:style w:type="paragraph" w:styleId="Ttulo1">
    <w:name w:val="heading 1"/>
    <w:basedOn w:val="Listaconnmeros"/>
    <w:next w:val="Normal"/>
    <w:link w:val="Ttulo1Car"/>
    <w:qFormat/>
    <w:rsid w:val="000D2704"/>
    <w:pPr>
      <w:keepNext/>
      <w:numPr>
        <w:numId w:val="2"/>
      </w:numPr>
      <w:tabs>
        <w:tab w:val="num" w:pos="360"/>
      </w:tabs>
      <w:spacing w:before="240" w:after="60"/>
      <w:ind w:left="360" w:hanging="360"/>
      <w:outlineLvl w:val="0"/>
    </w:pPr>
    <w:rPr>
      <w:rFonts w:ascii="Times New Roman" w:hAnsi="Times New Roman"/>
      <w:b/>
      <w:bCs/>
      <w:kern w:val="32"/>
      <w:sz w:val="32"/>
      <w:szCs w:val="32"/>
      <w:lang w:val="x-none"/>
    </w:rPr>
  </w:style>
  <w:style w:type="paragraph" w:styleId="Ttulo2">
    <w:name w:val="heading 2"/>
    <w:basedOn w:val="Listaconnmeros2"/>
    <w:next w:val="Normal"/>
    <w:link w:val="Ttulo2Car"/>
    <w:qFormat/>
    <w:rsid w:val="000D2704"/>
    <w:pPr>
      <w:keepNext/>
      <w:numPr>
        <w:ilvl w:val="1"/>
      </w:numPr>
      <w:spacing w:before="240" w:after="60"/>
      <w:ind w:left="432" w:hanging="432"/>
      <w:outlineLvl w:val="1"/>
    </w:pPr>
    <w:rPr>
      <w:rFonts w:ascii="Times New Roman" w:hAnsi="Times New Roman"/>
      <w:b/>
      <w:bCs/>
      <w:i/>
      <w:iCs/>
      <w:sz w:val="28"/>
      <w:szCs w:val="28"/>
      <w:lang w:val="x-none"/>
    </w:rPr>
  </w:style>
  <w:style w:type="paragraph" w:styleId="Ttulo3">
    <w:name w:val="heading 3"/>
    <w:basedOn w:val="Normal"/>
    <w:next w:val="Normal"/>
    <w:link w:val="Ttulo3Car"/>
    <w:qFormat/>
    <w:rsid w:val="000D2704"/>
    <w:pPr>
      <w:keepNext/>
      <w:numPr>
        <w:ilvl w:val="2"/>
        <w:numId w:val="2"/>
      </w:numPr>
      <w:spacing w:before="240" w:after="60"/>
      <w:outlineLvl w:val="2"/>
    </w:pPr>
    <w:rPr>
      <w:rFonts w:ascii="Cambria" w:hAnsi="Cambria"/>
      <w:b/>
      <w:bCs/>
      <w:sz w:val="26"/>
      <w:szCs w:val="26"/>
      <w:lang w:val="x-none"/>
    </w:rPr>
  </w:style>
  <w:style w:type="paragraph" w:styleId="Ttulo4">
    <w:name w:val="heading 4"/>
    <w:basedOn w:val="Normal"/>
    <w:next w:val="Normal"/>
    <w:link w:val="Ttulo4Car"/>
    <w:semiHidden/>
    <w:unhideWhenUsed/>
    <w:qFormat/>
    <w:rsid w:val="000D2704"/>
    <w:pPr>
      <w:keepNext/>
      <w:numPr>
        <w:ilvl w:val="3"/>
        <w:numId w:val="2"/>
      </w:numPr>
      <w:spacing w:before="240" w:after="60"/>
      <w:outlineLvl w:val="3"/>
    </w:pPr>
    <w:rPr>
      <w:rFonts w:ascii="Calibri" w:hAnsi="Calibri"/>
      <w:b/>
      <w:bCs/>
      <w:sz w:val="28"/>
      <w:szCs w:val="28"/>
    </w:rPr>
  </w:style>
  <w:style w:type="paragraph" w:styleId="Ttulo5">
    <w:name w:val="heading 5"/>
    <w:basedOn w:val="Normal"/>
    <w:next w:val="Normal"/>
    <w:link w:val="Ttulo5Car"/>
    <w:semiHidden/>
    <w:unhideWhenUsed/>
    <w:qFormat/>
    <w:rsid w:val="000D2704"/>
    <w:pPr>
      <w:numPr>
        <w:ilvl w:val="4"/>
        <w:numId w:val="2"/>
      </w:numPr>
      <w:spacing w:before="240" w:after="60"/>
      <w:outlineLvl w:val="4"/>
    </w:pPr>
    <w:rPr>
      <w:rFonts w:ascii="Calibri" w:hAnsi="Calibri"/>
      <w:b/>
      <w:bCs/>
      <w:i/>
      <w:iCs/>
      <w:sz w:val="26"/>
      <w:szCs w:val="26"/>
    </w:rPr>
  </w:style>
  <w:style w:type="paragraph" w:styleId="Ttulo6">
    <w:name w:val="heading 6"/>
    <w:basedOn w:val="Normal"/>
    <w:next w:val="Normal"/>
    <w:link w:val="Ttulo6Car"/>
    <w:semiHidden/>
    <w:unhideWhenUsed/>
    <w:qFormat/>
    <w:rsid w:val="000D2704"/>
    <w:pPr>
      <w:numPr>
        <w:ilvl w:val="5"/>
        <w:numId w:val="2"/>
      </w:numPr>
      <w:spacing w:before="240" w:after="60"/>
      <w:outlineLvl w:val="5"/>
    </w:pPr>
    <w:rPr>
      <w:rFonts w:ascii="Calibri" w:hAnsi="Calibri"/>
      <w:b/>
      <w:bCs/>
      <w:sz w:val="22"/>
    </w:rPr>
  </w:style>
  <w:style w:type="paragraph" w:styleId="Ttulo7">
    <w:name w:val="heading 7"/>
    <w:basedOn w:val="Normal"/>
    <w:next w:val="Normal"/>
    <w:link w:val="Ttulo7Car"/>
    <w:semiHidden/>
    <w:unhideWhenUsed/>
    <w:qFormat/>
    <w:rsid w:val="000D2704"/>
    <w:pPr>
      <w:numPr>
        <w:ilvl w:val="6"/>
        <w:numId w:val="2"/>
      </w:numPr>
      <w:spacing w:before="240" w:after="60"/>
      <w:outlineLvl w:val="6"/>
    </w:pPr>
    <w:rPr>
      <w:rFonts w:ascii="Calibri" w:hAnsi="Calibri"/>
      <w:szCs w:val="24"/>
    </w:rPr>
  </w:style>
  <w:style w:type="paragraph" w:styleId="Ttulo8">
    <w:name w:val="heading 8"/>
    <w:basedOn w:val="Normal"/>
    <w:next w:val="Normal"/>
    <w:link w:val="Ttulo8Car"/>
    <w:semiHidden/>
    <w:unhideWhenUsed/>
    <w:qFormat/>
    <w:rsid w:val="000D2704"/>
    <w:pPr>
      <w:numPr>
        <w:ilvl w:val="7"/>
        <w:numId w:val="2"/>
      </w:numPr>
      <w:spacing w:before="240" w:after="60"/>
      <w:outlineLvl w:val="7"/>
    </w:pPr>
    <w:rPr>
      <w:rFonts w:ascii="Calibri" w:hAnsi="Calibri"/>
      <w:i/>
      <w:iCs/>
      <w:szCs w:val="24"/>
    </w:rPr>
  </w:style>
  <w:style w:type="paragraph" w:styleId="Ttulo9">
    <w:name w:val="heading 9"/>
    <w:basedOn w:val="Normal"/>
    <w:next w:val="Normal"/>
    <w:link w:val="Ttulo9Car"/>
    <w:semiHidden/>
    <w:unhideWhenUsed/>
    <w:qFormat/>
    <w:rsid w:val="000D2704"/>
    <w:pPr>
      <w:numPr>
        <w:ilvl w:val="8"/>
        <w:numId w:val="2"/>
      </w:numPr>
      <w:spacing w:before="240" w:after="60"/>
      <w:outlineLvl w:val="8"/>
    </w:pPr>
    <w:rPr>
      <w:rFonts w:ascii="Cambria" w:hAnsi="Cambria"/>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0D2704"/>
    <w:rPr>
      <w:rFonts w:ascii="Times New Roman" w:eastAsia="Times New Roman" w:hAnsi="Times New Roman" w:cs="Times New Roman"/>
      <w:b/>
      <w:bCs/>
      <w:kern w:val="32"/>
      <w:sz w:val="32"/>
      <w:szCs w:val="32"/>
      <w:lang w:val="x-none"/>
    </w:rPr>
  </w:style>
  <w:style w:type="character" w:customStyle="1" w:styleId="Ttulo2Car">
    <w:name w:val="Título 2 Car"/>
    <w:basedOn w:val="Fuentedeprrafopredeter"/>
    <w:link w:val="Ttulo2"/>
    <w:rsid w:val="000D2704"/>
    <w:rPr>
      <w:rFonts w:ascii="Times New Roman" w:eastAsia="Times New Roman" w:hAnsi="Times New Roman" w:cs="Times New Roman"/>
      <w:b/>
      <w:bCs/>
      <w:i/>
      <w:iCs/>
      <w:sz w:val="28"/>
      <w:szCs w:val="28"/>
      <w:lang w:val="x-none"/>
    </w:rPr>
  </w:style>
  <w:style w:type="character" w:customStyle="1" w:styleId="Ttulo3Car">
    <w:name w:val="Título 3 Car"/>
    <w:basedOn w:val="Fuentedeprrafopredeter"/>
    <w:link w:val="Ttulo3"/>
    <w:rsid w:val="000D2704"/>
    <w:rPr>
      <w:rFonts w:ascii="Cambria" w:eastAsia="Times New Roman" w:hAnsi="Cambria" w:cs="Times New Roman"/>
      <w:b/>
      <w:bCs/>
      <w:sz w:val="26"/>
      <w:szCs w:val="26"/>
      <w:lang w:val="x-none"/>
    </w:rPr>
  </w:style>
  <w:style w:type="character" w:customStyle="1" w:styleId="Ttulo4Car">
    <w:name w:val="Título 4 Car"/>
    <w:basedOn w:val="Fuentedeprrafopredeter"/>
    <w:link w:val="Ttulo4"/>
    <w:semiHidden/>
    <w:rsid w:val="000D2704"/>
    <w:rPr>
      <w:rFonts w:ascii="Calibri" w:eastAsia="Times New Roman" w:hAnsi="Calibri" w:cs="Times New Roman"/>
      <w:b/>
      <w:bCs/>
      <w:sz w:val="28"/>
      <w:szCs w:val="28"/>
      <w:lang w:val="es-ES"/>
    </w:rPr>
  </w:style>
  <w:style w:type="character" w:customStyle="1" w:styleId="Ttulo5Car">
    <w:name w:val="Título 5 Car"/>
    <w:basedOn w:val="Fuentedeprrafopredeter"/>
    <w:link w:val="Ttulo5"/>
    <w:semiHidden/>
    <w:rsid w:val="000D2704"/>
    <w:rPr>
      <w:rFonts w:ascii="Calibri" w:eastAsia="Times New Roman" w:hAnsi="Calibri" w:cs="Times New Roman"/>
      <w:b/>
      <w:bCs/>
      <w:i/>
      <w:iCs/>
      <w:sz w:val="26"/>
      <w:szCs w:val="26"/>
      <w:lang w:val="es-ES"/>
    </w:rPr>
  </w:style>
  <w:style w:type="character" w:customStyle="1" w:styleId="Ttulo6Car">
    <w:name w:val="Título 6 Car"/>
    <w:basedOn w:val="Fuentedeprrafopredeter"/>
    <w:link w:val="Ttulo6"/>
    <w:semiHidden/>
    <w:rsid w:val="000D2704"/>
    <w:rPr>
      <w:rFonts w:ascii="Calibri" w:eastAsia="Times New Roman" w:hAnsi="Calibri" w:cs="Times New Roman"/>
      <w:b/>
      <w:bCs/>
      <w:lang w:val="es-ES"/>
    </w:rPr>
  </w:style>
  <w:style w:type="character" w:customStyle="1" w:styleId="Ttulo7Car">
    <w:name w:val="Título 7 Car"/>
    <w:basedOn w:val="Fuentedeprrafopredeter"/>
    <w:link w:val="Ttulo7"/>
    <w:semiHidden/>
    <w:rsid w:val="000D2704"/>
    <w:rPr>
      <w:rFonts w:ascii="Calibri" w:eastAsia="Times New Roman" w:hAnsi="Calibri" w:cs="Times New Roman"/>
      <w:sz w:val="24"/>
      <w:szCs w:val="24"/>
      <w:lang w:val="es-ES"/>
    </w:rPr>
  </w:style>
  <w:style w:type="character" w:customStyle="1" w:styleId="Ttulo8Car">
    <w:name w:val="Título 8 Car"/>
    <w:basedOn w:val="Fuentedeprrafopredeter"/>
    <w:link w:val="Ttulo8"/>
    <w:semiHidden/>
    <w:rsid w:val="000D2704"/>
    <w:rPr>
      <w:rFonts w:ascii="Calibri" w:eastAsia="Times New Roman" w:hAnsi="Calibri" w:cs="Times New Roman"/>
      <w:i/>
      <w:iCs/>
      <w:sz w:val="24"/>
      <w:szCs w:val="24"/>
      <w:lang w:val="es-ES"/>
    </w:rPr>
  </w:style>
  <w:style w:type="character" w:customStyle="1" w:styleId="Ttulo9Car">
    <w:name w:val="Título 9 Car"/>
    <w:basedOn w:val="Fuentedeprrafopredeter"/>
    <w:link w:val="Ttulo9"/>
    <w:semiHidden/>
    <w:rsid w:val="000D2704"/>
    <w:rPr>
      <w:rFonts w:ascii="Cambria" w:eastAsia="Times New Roman" w:hAnsi="Cambria" w:cs="Times New Roman"/>
      <w:lang w:val="es-ES"/>
    </w:rPr>
  </w:style>
  <w:style w:type="paragraph" w:customStyle="1" w:styleId="Estilo1">
    <w:name w:val="Estilo1"/>
    <w:basedOn w:val="Ttulo2"/>
    <w:qFormat/>
    <w:rsid w:val="000D2704"/>
    <w:pPr>
      <w:numPr>
        <w:numId w:val="1"/>
      </w:numPr>
    </w:pPr>
    <w:rPr>
      <w:i w:val="0"/>
      <w:lang w:val="es-CL" w:eastAsia="es-CL"/>
    </w:rPr>
  </w:style>
  <w:style w:type="paragraph" w:styleId="Listaconnmeros">
    <w:name w:val="List Number"/>
    <w:basedOn w:val="Normal"/>
    <w:uiPriority w:val="99"/>
    <w:unhideWhenUsed/>
    <w:rsid w:val="000D2704"/>
    <w:pPr>
      <w:numPr>
        <w:numId w:val="1"/>
      </w:numPr>
      <w:contextualSpacing/>
    </w:pPr>
  </w:style>
  <w:style w:type="paragraph" w:styleId="Listaconnmeros2">
    <w:name w:val="List Number 2"/>
    <w:basedOn w:val="Normal"/>
    <w:uiPriority w:val="99"/>
    <w:semiHidden/>
    <w:unhideWhenUsed/>
    <w:rsid w:val="000D2704"/>
    <w:pPr>
      <w:ind w:left="432" w:hanging="432"/>
      <w:contextualSpacing/>
    </w:pPr>
  </w:style>
  <w:style w:type="table" w:styleId="Tablaconcuadrcula">
    <w:name w:val="Table Grid"/>
    <w:basedOn w:val="Tablanormal"/>
    <w:uiPriority w:val="39"/>
    <w:rsid w:val="00DC70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588214">
      <w:bodyDiv w:val="1"/>
      <w:marLeft w:val="0"/>
      <w:marRight w:val="0"/>
      <w:marTop w:val="0"/>
      <w:marBottom w:val="0"/>
      <w:divBdr>
        <w:top w:val="none" w:sz="0" w:space="0" w:color="auto"/>
        <w:left w:val="none" w:sz="0" w:space="0" w:color="auto"/>
        <w:bottom w:val="none" w:sz="0" w:space="0" w:color="auto"/>
        <w:right w:val="none" w:sz="0" w:space="0" w:color="auto"/>
      </w:divBdr>
      <w:divsChild>
        <w:div w:id="616060898">
          <w:marLeft w:val="0"/>
          <w:marRight w:val="0"/>
          <w:marTop w:val="180"/>
          <w:marBottom w:val="240"/>
          <w:divBdr>
            <w:top w:val="none" w:sz="0" w:space="0" w:color="auto"/>
            <w:left w:val="none" w:sz="0" w:space="0" w:color="auto"/>
            <w:bottom w:val="none" w:sz="0" w:space="0" w:color="auto"/>
            <w:right w:val="none" w:sz="0" w:space="0" w:color="auto"/>
          </w:divBdr>
        </w:div>
        <w:div w:id="648367930">
          <w:marLeft w:val="0"/>
          <w:marRight w:val="0"/>
          <w:marTop w:val="180"/>
          <w:marBottom w:val="0"/>
          <w:divBdr>
            <w:top w:val="none" w:sz="0" w:space="0" w:color="auto"/>
            <w:left w:val="none" w:sz="0" w:space="0" w:color="auto"/>
            <w:bottom w:val="none" w:sz="0" w:space="0" w:color="auto"/>
            <w:right w:val="none" w:sz="0" w:space="0" w:color="auto"/>
          </w:divBdr>
        </w:div>
      </w:divsChild>
    </w:div>
    <w:div w:id="235168755">
      <w:bodyDiv w:val="1"/>
      <w:marLeft w:val="0"/>
      <w:marRight w:val="0"/>
      <w:marTop w:val="0"/>
      <w:marBottom w:val="0"/>
      <w:divBdr>
        <w:top w:val="none" w:sz="0" w:space="0" w:color="auto"/>
        <w:left w:val="none" w:sz="0" w:space="0" w:color="auto"/>
        <w:bottom w:val="none" w:sz="0" w:space="0" w:color="auto"/>
        <w:right w:val="none" w:sz="0" w:space="0" w:color="auto"/>
      </w:divBdr>
    </w:div>
    <w:div w:id="238831094">
      <w:bodyDiv w:val="1"/>
      <w:marLeft w:val="0"/>
      <w:marRight w:val="0"/>
      <w:marTop w:val="0"/>
      <w:marBottom w:val="0"/>
      <w:divBdr>
        <w:top w:val="none" w:sz="0" w:space="0" w:color="auto"/>
        <w:left w:val="none" w:sz="0" w:space="0" w:color="auto"/>
        <w:bottom w:val="none" w:sz="0" w:space="0" w:color="auto"/>
        <w:right w:val="none" w:sz="0" w:space="0" w:color="auto"/>
      </w:divBdr>
    </w:div>
    <w:div w:id="1070617386">
      <w:bodyDiv w:val="1"/>
      <w:marLeft w:val="0"/>
      <w:marRight w:val="0"/>
      <w:marTop w:val="0"/>
      <w:marBottom w:val="0"/>
      <w:divBdr>
        <w:top w:val="none" w:sz="0" w:space="0" w:color="auto"/>
        <w:left w:val="none" w:sz="0" w:space="0" w:color="auto"/>
        <w:bottom w:val="none" w:sz="0" w:space="0" w:color="auto"/>
        <w:right w:val="none" w:sz="0" w:space="0" w:color="auto"/>
      </w:divBdr>
      <w:divsChild>
        <w:div w:id="2026132507">
          <w:marLeft w:val="0"/>
          <w:marRight w:val="0"/>
          <w:marTop w:val="180"/>
          <w:marBottom w:val="240"/>
          <w:divBdr>
            <w:top w:val="none" w:sz="0" w:space="0" w:color="auto"/>
            <w:left w:val="none" w:sz="0" w:space="0" w:color="auto"/>
            <w:bottom w:val="none" w:sz="0" w:space="0" w:color="auto"/>
            <w:right w:val="none" w:sz="0" w:space="0" w:color="auto"/>
          </w:divBdr>
        </w:div>
        <w:div w:id="972563585">
          <w:marLeft w:val="0"/>
          <w:marRight w:val="0"/>
          <w:marTop w:val="180"/>
          <w:marBottom w:val="240"/>
          <w:divBdr>
            <w:top w:val="none" w:sz="0" w:space="0" w:color="auto"/>
            <w:left w:val="none" w:sz="0" w:space="0" w:color="auto"/>
            <w:bottom w:val="none" w:sz="0" w:space="0" w:color="auto"/>
            <w:right w:val="none" w:sz="0" w:space="0" w:color="auto"/>
          </w:divBdr>
        </w:div>
        <w:div w:id="102463782">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TotalTime>
  <Pages>5</Pages>
  <Words>1198</Words>
  <Characters>6591</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IGNACIO OPAZO ALDUNCE</dc:creator>
  <cp:keywords/>
  <dc:description/>
  <cp:lastModifiedBy>ALEJANDRO IGNACIO OPAZO ALDUNCE</cp:lastModifiedBy>
  <cp:revision>227</cp:revision>
  <dcterms:created xsi:type="dcterms:W3CDTF">2026-08-31T23:33:00Z</dcterms:created>
  <dcterms:modified xsi:type="dcterms:W3CDTF">2026-09-03T08:54:00Z</dcterms:modified>
</cp:coreProperties>
</file>