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B720D" w14:textId="77777777" w:rsidR="00F3414C" w:rsidRDefault="00000000">
      <w:pPr>
        <w:pStyle w:val="FirstParagraph"/>
      </w:pPr>
      <w:r>
        <w:rPr>
          <w:b/>
          <w:bCs/>
        </w:rPr>
        <w:t>Faithfulness Score</w:t>
      </w:r>
      <w:r>
        <w:t>: 100/100 - Excellent</w:t>
      </w:r>
    </w:p>
    <w:p w14:paraId="11E33FB5" w14:textId="77777777" w:rsidR="00F3414C" w:rsidRDefault="00000000">
      <w:pPr>
        <w:pStyle w:val="Ttulo1"/>
      </w:pPr>
      <w:bookmarkStart w:id="0" w:name="Xfd12c52ffa38ba2f927f5c05d779d5d61665f4d"/>
      <w:r>
        <w:t>EU-LAC Digital Alliance Days: Key Collaborations and Future Initiatives for 2025 Summit</w:t>
      </w:r>
    </w:p>
    <w:p w14:paraId="560FB435" w14:textId="77777777" w:rsidR="00F3414C" w:rsidRDefault="00000000">
      <w:pPr>
        <w:pStyle w:val="FirstParagraph"/>
      </w:pPr>
      <w:r>
        <w:rPr>
          <w:b/>
          <w:bCs/>
        </w:rPr>
        <w:t>Date</w:t>
      </w:r>
      <w:r>
        <w:t>: 2023-11-27</w:t>
      </w:r>
    </w:p>
    <w:p w14:paraId="33812A99" w14:textId="77777777" w:rsidR="00F3414C" w:rsidRDefault="00000000">
      <w:pPr>
        <w:pStyle w:val="Textoindependiente"/>
      </w:pPr>
      <w:r>
        <w:rPr>
          <w:b/>
          <w:bCs/>
        </w:rPr>
        <w:t>Location</w:t>
      </w:r>
      <w:r>
        <w:t>: Colombia</w:t>
      </w:r>
    </w:p>
    <w:p w14:paraId="7D4C0526" w14:textId="77777777" w:rsidR="00F3414C" w:rsidRDefault="00000000">
      <w:pPr>
        <w:pStyle w:val="Ttulo2"/>
      </w:pPr>
      <w:bookmarkStart w:id="1" w:name="executive-summary"/>
      <w:r>
        <w:t>Executive Summary</w:t>
      </w:r>
    </w:p>
    <w:p w14:paraId="686E6D47" w14:textId="77777777" w:rsidR="00F3414C" w:rsidRDefault="00000000">
      <w:pPr>
        <w:pStyle w:val="FirstParagraph"/>
      </w:pPr>
      <w:r>
        <w:t>The EU-LAC Digital Alliance Days, held from November 27-29, 2023, in Cartagena de Indias, Colombia, gathered over 150 senior representatives from Latin America, the Caribbean, and the European Union to enhance digital cooperation. Key discussions focused on five thematic areas: Artificial Intelligence, data governance, digital government, inclusive connectivity, and cybersecurity. Participants identified collaborative initiatives, including aligning cybersecurity frameworks, developing interoperable digital identity mechanisms, and promoting safe data flows. The event underscored a commitment to a human-centric digital transformation and marked a significant step towards the 2025 EU-CELAC Summit. Follow-up dialogues on cybersecurity and other digital issues are scheduled for 2024, reinforcing the partnership’s objectives under the Global Gateway initiative.</w:t>
      </w:r>
    </w:p>
    <w:p w14:paraId="6F631AFA" w14:textId="77777777" w:rsidR="00F3414C" w:rsidRDefault="00000000">
      <w:pPr>
        <w:pStyle w:val="Ttulo2"/>
      </w:pPr>
      <w:bookmarkStart w:id="2" w:name="characteristics"/>
      <w:bookmarkEnd w:id="1"/>
      <w:r>
        <w:t>Characteristics</w:t>
      </w:r>
    </w:p>
    <w:p w14:paraId="480ECF06" w14:textId="77777777" w:rsidR="00F3414C" w:rsidRDefault="00000000">
      <w:pPr>
        <w:pStyle w:val="Compact"/>
        <w:numPr>
          <w:ilvl w:val="0"/>
          <w:numId w:val="2"/>
        </w:numPr>
      </w:pPr>
      <w:r>
        <w:t>The EU-LAC Digital Alliance Days took place from November 27-29, 2023, in Cartagena de Indias, Colombia, gathering over 150 representatives from various sectors.</w:t>
      </w:r>
    </w:p>
    <w:p w14:paraId="7B28E9B9" w14:textId="77777777" w:rsidR="00F3414C" w:rsidRDefault="00000000">
      <w:pPr>
        <w:pStyle w:val="Compact"/>
        <w:numPr>
          <w:ilvl w:val="0"/>
          <w:numId w:val="2"/>
        </w:numPr>
      </w:pPr>
      <w:r>
        <w:t>Key discussions focused on digital cooperation, including AI, data governance, digital government, inclusive connectivity, and cybersecurity.</w:t>
      </w:r>
    </w:p>
    <w:p w14:paraId="6B9B6886" w14:textId="77777777" w:rsidR="00F3414C" w:rsidRDefault="00000000">
      <w:pPr>
        <w:pStyle w:val="Compact"/>
        <w:numPr>
          <w:ilvl w:val="0"/>
          <w:numId w:val="2"/>
        </w:numPr>
      </w:pPr>
      <w:r>
        <w:t>Participants identified joint collaboration areas such as cybersecurity frameworks, inclusive connectivity strategies, and digital identity mechanisms.</w:t>
      </w:r>
    </w:p>
    <w:p w14:paraId="4405C282" w14:textId="77777777" w:rsidR="00F3414C" w:rsidRDefault="00000000">
      <w:pPr>
        <w:pStyle w:val="Compact"/>
        <w:numPr>
          <w:ilvl w:val="0"/>
          <w:numId w:val="2"/>
        </w:numPr>
      </w:pPr>
      <w:r>
        <w:t>The event emphasized a human-centric approach to technology, aligning with the goals of the Global Gateway initiative in Latin America and the Caribbean.</w:t>
      </w:r>
    </w:p>
    <w:p w14:paraId="7798B602" w14:textId="77777777" w:rsidR="00D250A2" w:rsidRDefault="00000000">
      <w:pPr>
        <w:pStyle w:val="Compact"/>
        <w:numPr>
          <w:ilvl w:val="0"/>
          <w:numId w:val="2"/>
        </w:numPr>
      </w:pPr>
      <w:r>
        <w:t>A follow-up dialogue on cybersecurity is scheduled for February 2024 in the Dominican Republic, with additional discussions planned throughout the year.</w:t>
      </w:r>
    </w:p>
    <w:p w14:paraId="6E790383" w14:textId="32EC291A" w:rsidR="00D250A2" w:rsidRDefault="00D250A2" w:rsidP="00D250A2">
      <w:pPr>
        <w:pStyle w:val="Ttulo2"/>
      </w:pPr>
      <w:r>
        <w:t>Actors</w:t>
      </w:r>
    </w:p>
    <w:tbl>
      <w:tblPr>
        <w:tblStyle w:val="Table"/>
        <w:tblW w:w="5000" w:type="pct"/>
        <w:tblLayout w:type="fixed"/>
        <w:tblLook w:val="0020" w:firstRow="1" w:lastRow="0" w:firstColumn="0" w:lastColumn="0" w:noHBand="0" w:noVBand="0"/>
      </w:tblPr>
      <w:tblGrid>
        <w:gridCol w:w="4527"/>
        <w:gridCol w:w="4527"/>
      </w:tblGrid>
      <w:tr w:rsidR="00F3414C" w14:paraId="2860BF86" w14:textId="77777777" w:rsidTr="00F3414C">
        <w:trPr>
          <w:cnfStyle w:val="100000000000" w:firstRow="1" w:lastRow="0" w:firstColumn="0" w:lastColumn="0" w:oddVBand="0" w:evenVBand="0" w:oddHBand="0" w:evenHBand="0" w:firstRowFirstColumn="0" w:firstRowLastColumn="0" w:lastRowFirstColumn="0" w:lastRowLastColumn="0"/>
          <w:tblHeader/>
        </w:trPr>
        <w:tc>
          <w:tcPr>
            <w:tcW w:w="3960" w:type="dxa"/>
          </w:tcPr>
          <w:p w14:paraId="28511AAE" w14:textId="77777777" w:rsidR="00F3414C" w:rsidRDefault="00000000">
            <w:pPr>
              <w:pStyle w:val="Compact"/>
            </w:pPr>
            <w:r>
              <w:t>Category</w:t>
            </w:r>
          </w:p>
        </w:tc>
        <w:tc>
          <w:tcPr>
            <w:tcW w:w="3960" w:type="dxa"/>
          </w:tcPr>
          <w:p w14:paraId="4A793E88" w14:textId="77777777" w:rsidR="00F3414C" w:rsidRDefault="00000000">
            <w:pPr>
              <w:pStyle w:val="Compact"/>
            </w:pPr>
            <w:r>
              <w:t>Actors</w:t>
            </w:r>
          </w:p>
        </w:tc>
      </w:tr>
      <w:tr w:rsidR="00F3414C" w14:paraId="261C052B" w14:textId="77777777">
        <w:tc>
          <w:tcPr>
            <w:tcW w:w="3960" w:type="dxa"/>
          </w:tcPr>
          <w:p w14:paraId="22A04289" w14:textId="77777777" w:rsidR="00F3414C" w:rsidRDefault="00000000">
            <w:pPr>
              <w:pStyle w:val="Compact"/>
            </w:pPr>
            <w:r>
              <w:t>Political Actors</w:t>
            </w:r>
          </w:p>
        </w:tc>
        <w:tc>
          <w:tcPr>
            <w:tcW w:w="3960" w:type="dxa"/>
          </w:tcPr>
          <w:p w14:paraId="792546DA" w14:textId="77777777" w:rsidR="00F3414C" w:rsidRDefault="00000000">
            <w:pPr>
              <w:pStyle w:val="Compact"/>
            </w:pPr>
            <w:r>
              <w:t xml:space="preserve">1. European Commission; 2. Spanish Agency for International Development </w:t>
            </w:r>
            <w:r>
              <w:lastRenderedPageBreak/>
              <w:t>(AECID); 7. Dominican Republic; 8. German Federal Ministry for Economic Cooperation and Development (BMZ)</w:t>
            </w:r>
          </w:p>
        </w:tc>
      </w:tr>
      <w:tr w:rsidR="00F3414C" w14:paraId="336D3DBD" w14:textId="77777777">
        <w:tc>
          <w:tcPr>
            <w:tcW w:w="3960" w:type="dxa"/>
          </w:tcPr>
          <w:p w14:paraId="1BFF12B9" w14:textId="77777777" w:rsidR="00F3414C" w:rsidRDefault="00000000">
            <w:pPr>
              <w:pStyle w:val="Compact"/>
            </w:pPr>
            <w:r>
              <w:lastRenderedPageBreak/>
              <w:t>Research and Innovation Actors</w:t>
            </w:r>
          </w:p>
        </w:tc>
        <w:tc>
          <w:tcPr>
            <w:tcW w:w="3960" w:type="dxa"/>
          </w:tcPr>
          <w:p w14:paraId="237DFD5A" w14:textId="77777777" w:rsidR="00F3414C" w:rsidRDefault="00000000">
            <w:pPr>
              <w:pStyle w:val="Compact"/>
            </w:pPr>
            <w:r>
              <w:t>3. Digital for Development (D4D) Hub</w:t>
            </w:r>
          </w:p>
        </w:tc>
      </w:tr>
      <w:tr w:rsidR="00F3414C" w14:paraId="2BB5FC6A" w14:textId="77777777">
        <w:tc>
          <w:tcPr>
            <w:tcW w:w="3960" w:type="dxa"/>
          </w:tcPr>
          <w:p w14:paraId="00E63F8D" w14:textId="77777777" w:rsidR="00F3414C" w:rsidRDefault="00000000">
            <w:pPr>
              <w:pStyle w:val="Compact"/>
            </w:pPr>
            <w:r>
              <w:t>Government Officials</w:t>
            </w:r>
          </w:p>
        </w:tc>
        <w:tc>
          <w:tcPr>
            <w:tcW w:w="3960" w:type="dxa"/>
          </w:tcPr>
          <w:p w14:paraId="1C20A711" w14:textId="77777777" w:rsidR="00F3414C" w:rsidRDefault="00000000">
            <w:pPr>
              <w:pStyle w:val="Compact"/>
            </w:pPr>
            <w:r>
              <w:t>4. Félix Fernández-Shaw; 5. Saul Kattan; 6. Miguel González Gullón</w:t>
            </w:r>
          </w:p>
        </w:tc>
      </w:tr>
    </w:tbl>
    <w:p w14:paraId="7FA12730" w14:textId="77777777" w:rsidR="00F3414C" w:rsidRDefault="00000000">
      <w:pPr>
        <w:pStyle w:val="Ttulo2"/>
      </w:pPr>
      <w:bookmarkStart w:id="3" w:name="main-themes"/>
      <w:bookmarkEnd w:id="2"/>
      <w:r>
        <w:t>Main Themes</w:t>
      </w:r>
    </w:p>
    <w:tbl>
      <w:tblPr>
        <w:tblStyle w:val="Table"/>
        <w:tblW w:w="0" w:type="auto"/>
        <w:tblLook w:val="0020" w:firstRow="1" w:lastRow="0" w:firstColumn="0" w:lastColumn="0" w:noHBand="0" w:noVBand="0"/>
      </w:tblPr>
      <w:tblGrid>
        <w:gridCol w:w="2966"/>
        <w:gridCol w:w="4181"/>
      </w:tblGrid>
      <w:tr w:rsidR="00F3414C" w14:paraId="2ECCFB8D" w14:textId="77777777" w:rsidTr="00F3414C">
        <w:trPr>
          <w:cnfStyle w:val="100000000000" w:firstRow="1" w:lastRow="0" w:firstColumn="0" w:lastColumn="0" w:oddVBand="0" w:evenVBand="0" w:oddHBand="0" w:evenHBand="0" w:firstRowFirstColumn="0" w:firstRowLastColumn="0" w:lastRowFirstColumn="0" w:lastRowLastColumn="0"/>
          <w:tblHeader/>
        </w:trPr>
        <w:tc>
          <w:tcPr>
            <w:tcW w:w="0" w:type="auto"/>
          </w:tcPr>
          <w:p w14:paraId="6469593B" w14:textId="77777777" w:rsidR="00F3414C" w:rsidRDefault="00000000">
            <w:pPr>
              <w:pStyle w:val="Compact"/>
            </w:pPr>
            <w:r>
              <w:t>Sub-category</w:t>
            </w:r>
          </w:p>
        </w:tc>
        <w:tc>
          <w:tcPr>
            <w:tcW w:w="0" w:type="auto"/>
          </w:tcPr>
          <w:p w14:paraId="3891072C" w14:textId="77777777" w:rsidR="00F3414C" w:rsidRDefault="00000000">
            <w:pPr>
              <w:pStyle w:val="Compact"/>
            </w:pPr>
            <w:r>
              <w:t>Themes</w:t>
            </w:r>
          </w:p>
        </w:tc>
      </w:tr>
      <w:tr w:rsidR="00F3414C" w14:paraId="738AB045" w14:textId="77777777">
        <w:tc>
          <w:tcPr>
            <w:tcW w:w="0" w:type="auto"/>
          </w:tcPr>
          <w:p w14:paraId="08DB1E87" w14:textId="77777777" w:rsidR="00F3414C" w:rsidRDefault="00000000">
            <w:pPr>
              <w:pStyle w:val="Compact"/>
            </w:pPr>
            <w:r>
              <w:t>Global Digital Cooperation</w:t>
            </w:r>
          </w:p>
        </w:tc>
        <w:tc>
          <w:tcPr>
            <w:tcW w:w="0" w:type="auto"/>
          </w:tcPr>
          <w:p w14:paraId="592ECD66" w14:textId="77777777" w:rsidR="00F3414C" w:rsidRDefault="00000000">
            <w:pPr>
              <w:pStyle w:val="Compact"/>
            </w:pPr>
            <w:r>
              <w:t>EU-LAC Digital Alliance</w:t>
            </w:r>
          </w:p>
        </w:tc>
      </w:tr>
      <w:tr w:rsidR="00F3414C" w14:paraId="1C8725F8" w14:textId="77777777">
        <w:tc>
          <w:tcPr>
            <w:tcW w:w="0" w:type="auto"/>
          </w:tcPr>
          <w:p w14:paraId="2A994EB0" w14:textId="77777777" w:rsidR="00F3414C" w:rsidRDefault="00000000">
            <w:pPr>
              <w:pStyle w:val="Compact"/>
            </w:pPr>
            <w:r>
              <w:t>Cybersecurity</w:t>
            </w:r>
          </w:p>
        </w:tc>
        <w:tc>
          <w:tcPr>
            <w:tcW w:w="0" w:type="auto"/>
          </w:tcPr>
          <w:p w14:paraId="566C8715" w14:textId="77777777" w:rsidR="00F3414C" w:rsidRDefault="00000000">
            <w:pPr>
              <w:pStyle w:val="Compact"/>
            </w:pPr>
            <w:r>
              <w:t>Cybersecurity</w:t>
            </w:r>
          </w:p>
        </w:tc>
      </w:tr>
      <w:tr w:rsidR="00F3414C" w14:paraId="604D2A5C" w14:textId="77777777">
        <w:tc>
          <w:tcPr>
            <w:tcW w:w="0" w:type="auto"/>
          </w:tcPr>
          <w:p w14:paraId="07C85FCF" w14:textId="77777777" w:rsidR="00F3414C" w:rsidRDefault="00000000">
            <w:pPr>
              <w:pStyle w:val="Compact"/>
            </w:pPr>
            <w:r>
              <w:t>Digital Governance</w:t>
            </w:r>
          </w:p>
        </w:tc>
        <w:tc>
          <w:tcPr>
            <w:tcW w:w="0" w:type="auto"/>
          </w:tcPr>
          <w:p w14:paraId="2D102AF8" w14:textId="77777777" w:rsidR="00F3414C" w:rsidRDefault="00000000">
            <w:pPr>
              <w:pStyle w:val="Compact"/>
            </w:pPr>
            <w:r>
              <w:t>Digital Identity</w:t>
            </w:r>
          </w:p>
        </w:tc>
      </w:tr>
      <w:tr w:rsidR="00F3414C" w14:paraId="309C06A7" w14:textId="77777777">
        <w:tc>
          <w:tcPr>
            <w:tcW w:w="0" w:type="auto"/>
          </w:tcPr>
          <w:p w14:paraId="0B5EE317" w14:textId="77777777" w:rsidR="00F3414C" w:rsidRDefault="00000000">
            <w:pPr>
              <w:pStyle w:val="Compact"/>
            </w:pPr>
            <w:r>
              <w:t>Digital Inclusion</w:t>
            </w:r>
          </w:p>
        </w:tc>
        <w:tc>
          <w:tcPr>
            <w:tcW w:w="0" w:type="auto"/>
          </w:tcPr>
          <w:p w14:paraId="523AB0C3" w14:textId="77777777" w:rsidR="00F3414C" w:rsidRDefault="00000000">
            <w:pPr>
              <w:pStyle w:val="Compact"/>
            </w:pPr>
            <w:r>
              <w:t>Inclusive Connectivity</w:t>
            </w:r>
          </w:p>
        </w:tc>
      </w:tr>
      <w:tr w:rsidR="00F3414C" w14:paraId="3787D3E5" w14:textId="77777777">
        <w:tc>
          <w:tcPr>
            <w:tcW w:w="0" w:type="auto"/>
          </w:tcPr>
          <w:p w14:paraId="6CB7F807" w14:textId="77777777" w:rsidR="00F3414C" w:rsidRDefault="00000000">
            <w:pPr>
              <w:pStyle w:val="Compact"/>
            </w:pPr>
            <w:r>
              <w:t>Data Governance</w:t>
            </w:r>
          </w:p>
        </w:tc>
        <w:tc>
          <w:tcPr>
            <w:tcW w:w="0" w:type="auto"/>
          </w:tcPr>
          <w:p w14:paraId="68B309B2" w14:textId="77777777" w:rsidR="00F3414C" w:rsidRDefault="00000000">
            <w:pPr>
              <w:pStyle w:val="Compact"/>
            </w:pPr>
            <w:r>
              <w:t>Data Governance</w:t>
            </w:r>
          </w:p>
        </w:tc>
      </w:tr>
      <w:tr w:rsidR="00F3414C" w14:paraId="3B8713E8" w14:textId="77777777">
        <w:tc>
          <w:tcPr>
            <w:tcW w:w="0" w:type="auto"/>
          </w:tcPr>
          <w:p w14:paraId="70D8D70C" w14:textId="77777777" w:rsidR="00F3414C" w:rsidRDefault="00000000">
            <w:pPr>
              <w:pStyle w:val="Compact"/>
            </w:pPr>
            <w:r>
              <w:t>Artificial Intelligence</w:t>
            </w:r>
          </w:p>
        </w:tc>
        <w:tc>
          <w:tcPr>
            <w:tcW w:w="0" w:type="auto"/>
          </w:tcPr>
          <w:p w14:paraId="49BEE5EA" w14:textId="77777777" w:rsidR="00F3414C" w:rsidRDefault="00000000">
            <w:pPr>
              <w:pStyle w:val="Compact"/>
            </w:pPr>
            <w:r>
              <w:t>Artificial Intelligence</w:t>
            </w:r>
          </w:p>
        </w:tc>
      </w:tr>
      <w:tr w:rsidR="00F3414C" w14:paraId="4FD41958" w14:textId="77777777">
        <w:tc>
          <w:tcPr>
            <w:tcW w:w="0" w:type="auto"/>
          </w:tcPr>
          <w:p w14:paraId="48137336" w14:textId="77777777" w:rsidR="00F3414C" w:rsidRDefault="00000000">
            <w:pPr>
              <w:pStyle w:val="Compact"/>
            </w:pPr>
            <w:r>
              <w:t>Digital Agenda</w:t>
            </w:r>
          </w:p>
        </w:tc>
        <w:tc>
          <w:tcPr>
            <w:tcW w:w="0" w:type="auto"/>
          </w:tcPr>
          <w:p w14:paraId="2D37C6D8" w14:textId="77777777" w:rsidR="00F3414C" w:rsidRDefault="00000000">
            <w:pPr>
              <w:pStyle w:val="Compact"/>
            </w:pPr>
            <w:r>
              <w:t>Human-Centric Digital Transformation</w:t>
            </w:r>
          </w:p>
        </w:tc>
      </w:tr>
    </w:tbl>
    <w:p w14:paraId="16DD2CBF" w14:textId="77777777" w:rsidR="00F3414C" w:rsidRDefault="00000000">
      <w:pPr>
        <w:pStyle w:val="Ttulo2"/>
      </w:pPr>
      <w:bookmarkStart w:id="4" w:name="practical-applications"/>
      <w:bookmarkEnd w:id="3"/>
      <w:r>
        <w:t>Practical Applications</w:t>
      </w:r>
    </w:p>
    <w:p w14:paraId="3E0A64D1" w14:textId="77777777" w:rsidR="00F3414C" w:rsidRDefault="00000000">
      <w:pPr>
        <w:pStyle w:val="Compact"/>
        <w:numPr>
          <w:ilvl w:val="0"/>
          <w:numId w:val="3"/>
        </w:numPr>
      </w:pPr>
      <w:r>
        <w:t>Co-leading partnerships established between the EU, EU Member States, and LAC countries in five thematic areas: cybersecurity frameworks, inclusive and secure connectivity, interoperable digital identity mechanisms, free and safe data flows, and AI risk mitigation strategies.</w:t>
      </w:r>
    </w:p>
    <w:p w14:paraId="2FCA8011" w14:textId="77777777" w:rsidR="00F3414C" w:rsidRDefault="00000000">
      <w:pPr>
        <w:pStyle w:val="Compact"/>
        <w:numPr>
          <w:ilvl w:val="0"/>
          <w:numId w:val="3"/>
        </w:numPr>
      </w:pPr>
      <w:r>
        <w:t>A follow-up dialogue on cybersecurity scheduled for February 2024 in the Dominican Republic, with additional dialogues on connectivity, digital inclusion, data governance, and e-governance planned for later in the year.</w:t>
      </w:r>
    </w:p>
    <w:p w14:paraId="069FD35D" w14:textId="77777777" w:rsidR="00F3414C" w:rsidRDefault="00000000">
      <w:pPr>
        <w:pStyle w:val="Compact"/>
        <w:numPr>
          <w:ilvl w:val="0"/>
          <w:numId w:val="3"/>
        </w:numPr>
      </w:pPr>
      <w:r>
        <w:t>The policy dialogue component of the TEI (Transatlantic Economic Initiative) is co-financed by the German Federal Ministry for Economic Cooperation and Development (BMZ).</w:t>
      </w:r>
    </w:p>
    <w:p w14:paraId="3C7C3954" w14:textId="77777777" w:rsidR="00F3414C" w:rsidRDefault="00000000">
      <w:pPr>
        <w:pStyle w:val="Ttulo2"/>
      </w:pPr>
      <w:bookmarkStart w:id="5" w:name="future-commitments"/>
      <w:bookmarkEnd w:id="4"/>
      <w:r>
        <w:t>Future Commitments</w:t>
      </w:r>
    </w:p>
    <w:p w14:paraId="04B01B3E" w14:textId="77777777" w:rsidR="00F3414C" w:rsidRDefault="00000000">
      <w:pPr>
        <w:pStyle w:val="Compact"/>
        <w:numPr>
          <w:ilvl w:val="0"/>
          <w:numId w:val="4"/>
        </w:numPr>
      </w:pPr>
      <w:r>
        <w:t>A follow-up dialogue on cybersecurity will be hosted by the Dominican Republic in February 2024.</w:t>
      </w:r>
    </w:p>
    <w:p w14:paraId="7311D730" w14:textId="77777777" w:rsidR="00F3414C" w:rsidRDefault="00000000">
      <w:pPr>
        <w:pStyle w:val="Compact"/>
        <w:numPr>
          <w:ilvl w:val="0"/>
          <w:numId w:val="4"/>
        </w:numPr>
      </w:pPr>
      <w:r>
        <w:t>Follow-up dialogues on connectivity and digital inclusion, data governance, and e-governance will take place later in 2024.</w:t>
      </w:r>
    </w:p>
    <w:p w14:paraId="0E793916" w14:textId="77777777" w:rsidR="00F3414C" w:rsidRDefault="00000000">
      <w:pPr>
        <w:pStyle w:val="Compact"/>
        <w:numPr>
          <w:ilvl w:val="0"/>
          <w:numId w:val="4"/>
        </w:numPr>
      </w:pPr>
      <w:r>
        <w:t>The next EU-CELAC Summit is scheduled to be held in Colombia in 2025.</w:t>
      </w:r>
    </w:p>
    <w:p w14:paraId="5B8FC327" w14:textId="77777777" w:rsidR="00F3414C" w:rsidRDefault="00000000">
      <w:pPr>
        <w:pStyle w:val="Compact"/>
        <w:numPr>
          <w:ilvl w:val="0"/>
          <w:numId w:val="4"/>
        </w:numPr>
      </w:pPr>
      <w:r>
        <w:t>No specific commitments identified regarding numerical targets, pledged funding amounts, specific percentage increases or reductions, or measurable goals with clear metrics.</w:t>
      </w:r>
      <w:bookmarkEnd w:id="0"/>
      <w:bookmarkEnd w:id="5"/>
    </w:p>
    <w:sectPr w:rsidR="00F3414C">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2C83DB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E78B4F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41939534">
    <w:abstractNumId w:val="0"/>
  </w:num>
  <w:num w:numId="2" w16cid:durableId="997341607">
    <w:abstractNumId w:val="1"/>
  </w:num>
  <w:num w:numId="3" w16cid:durableId="1089499959">
    <w:abstractNumId w:val="1"/>
  </w:num>
  <w:num w:numId="4" w16cid:durableId="365106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F3414C"/>
    <w:rsid w:val="00D250A2"/>
    <w:rsid w:val="00EE3216"/>
    <w:rsid w:val="00F3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E9B0"/>
  <w15:docId w15:val="{DF96493A-C581-444C-A61C-AEFE9342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tulo"/>
    <w:next w:val="Textoindependiente"/>
    <w:qFormat/>
    <w:pPr>
      <w:keepNext/>
      <w:keepLines/>
    </w:pPr>
    <w:rPr>
      <w:sz w:val="24"/>
      <w:szCs w:val="24"/>
    </w:rPr>
  </w:style>
  <w:style w:type="paragraph" w:styleId="Fecha">
    <w:name w:val="Date"/>
    <w:basedOn w:val="Ttulo"/>
    <w:next w:val="Textoindependiente"/>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571</Words>
  <Characters>3141</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Felipe Mendieta</cp:lastModifiedBy>
  <cp:revision>2</cp:revision>
  <dcterms:created xsi:type="dcterms:W3CDTF">2025-05-09T21:42:00Z</dcterms:created>
  <dcterms:modified xsi:type="dcterms:W3CDTF">2025-05-12T14:35:00Z</dcterms:modified>
</cp:coreProperties>
</file>