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9482C" w14:textId="77777777" w:rsidR="00F03871" w:rsidRDefault="00000000">
      <w:pPr>
        <w:pStyle w:val="FirstParagraph"/>
      </w:pPr>
      <w:r>
        <w:rPr>
          <w:b/>
          <w:bCs/>
        </w:rPr>
        <w:t>Faithfulness Score</w:t>
      </w:r>
      <w:r>
        <w:t>: 100/100 - Excellent</w:t>
      </w:r>
    </w:p>
    <w:p w14:paraId="5A02B3BF" w14:textId="77777777" w:rsidR="00F03871" w:rsidRDefault="00000000">
      <w:pPr>
        <w:pStyle w:val="Ttulo1"/>
      </w:pPr>
      <w:bookmarkStart w:id="0" w:name="Xaaa503e769de12518fcdb18ef32fb024668c657"/>
      <w:r>
        <w:t>Strengthening AI Regulatory Frameworks: The EU-LAC Digital Alliance Statement</w:t>
      </w:r>
    </w:p>
    <w:p w14:paraId="34B69894" w14:textId="77777777" w:rsidR="00F03871" w:rsidRDefault="00000000">
      <w:pPr>
        <w:pStyle w:val="FirstParagraph"/>
      </w:pPr>
      <w:r>
        <w:rPr>
          <w:b/>
          <w:bCs/>
        </w:rPr>
        <w:t>Date</w:t>
      </w:r>
      <w:r>
        <w:t>: 2023-11-16</w:t>
      </w:r>
    </w:p>
    <w:p w14:paraId="5C0838B6" w14:textId="77777777" w:rsidR="00F03871" w:rsidRDefault="00000000">
      <w:pPr>
        <w:pStyle w:val="Textoindependiente"/>
      </w:pPr>
      <w:r>
        <w:rPr>
          <w:b/>
          <w:bCs/>
        </w:rPr>
        <w:t>Location</w:t>
      </w:r>
      <w:r>
        <w:t>: Madrid, Spain</w:t>
      </w:r>
    </w:p>
    <w:p w14:paraId="42747AE1" w14:textId="77777777" w:rsidR="00F03871" w:rsidRDefault="00000000">
      <w:pPr>
        <w:pStyle w:val="Ttulo2"/>
      </w:pPr>
      <w:bookmarkStart w:id="1" w:name="executive-summary"/>
      <w:r>
        <w:t>Executive Summary</w:t>
      </w:r>
    </w:p>
    <w:p w14:paraId="099ADEA3" w14:textId="77777777" w:rsidR="00F03871" w:rsidRDefault="00000000">
      <w:pPr>
        <w:pStyle w:val="FirstParagraph"/>
      </w:pPr>
      <w:r>
        <w:t>On November 16, 2023, during the AI Alliance Assembly in Madrid, representatives from the EU and several Latin American and Caribbean (LAC) countries reaffirmed their commitment to the Digital Alliance, established in July 2023. This initiative aims to enhance human-centric digital cooperation and promote the convergence of digital policy and regulatory frameworks, particularly in artificial intelligence (AI). The upcoming EU Regulation on AI will set safety and rights-based requirements for AI providers, including the establishment of regulatory sandboxes for innovation. The participating states agreed to exchange best practices, implement guidelines, and maintain ongoing dialogue to ensure that AI development respects human rights while fostering innovation. This collaborative effort seeks to address the challenges posed by emerging AI technologies and ensure that they cater to diverse linguistic and cultural contexts across the regions.</w:t>
      </w:r>
    </w:p>
    <w:p w14:paraId="155BBEFA" w14:textId="77777777" w:rsidR="00F03871" w:rsidRDefault="00000000">
      <w:pPr>
        <w:pStyle w:val="Ttulo2"/>
      </w:pPr>
      <w:bookmarkStart w:id="2" w:name="characteristics"/>
      <w:bookmarkEnd w:id="1"/>
      <w:r>
        <w:t>Characteristics</w:t>
      </w:r>
    </w:p>
    <w:p w14:paraId="7BBA334A" w14:textId="77777777" w:rsidR="00F03871" w:rsidRDefault="00000000">
      <w:pPr>
        <w:pStyle w:val="Compact"/>
        <w:numPr>
          <w:ilvl w:val="0"/>
          <w:numId w:val="2"/>
        </w:numPr>
      </w:pPr>
      <w:r>
        <w:t>Establishes a Digital Alliance between the EU and LAC countries for cooperative digital policy and AI regulation.</w:t>
      </w:r>
    </w:p>
    <w:p w14:paraId="314EA01C" w14:textId="77777777" w:rsidR="00F03871" w:rsidRDefault="00000000">
      <w:pPr>
        <w:pStyle w:val="Compact"/>
        <w:numPr>
          <w:ilvl w:val="0"/>
          <w:numId w:val="2"/>
        </w:numPr>
      </w:pPr>
      <w:r>
        <w:t>Focuses on human-centric digital cooperation and convergence of regulatory frameworks.</w:t>
      </w:r>
    </w:p>
    <w:p w14:paraId="30612053" w14:textId="77777777" w:rsidR="00F03871" w:rsidRDefault="00000000">
      <w:pPr>
        <w:pStyle w:val="Compact"/>
        <w:numPr>
          <w:ilvl w:val="0"/>
          <w:numId w:val="2"/>
        </w:numPr>
      </w:pPr>
      <w:r>
        <w:t>Promotes exchange of best practices and operational measures for AI governance.</w:t>
      </w:r>
    </w:p>
    <w:p w14:paraId="1921D4F0" w14:textId="77777777" w:rsidR="00F03871" w:rsidRDefault="00000000">
      <w:pPr>
        <w:pStyle w:val="Compact"/>
        <w:numPr>
          <w:ilvl w:val="0"/>
          <w:numId w:val="2"/>
        </w:numPr>
      </w:pPr>
      <w:r>
        <w:t>Encourages linguistic inclusivity in AI development, particularly in Spanish and Portuguese.</w:t>
      </w:r>
    </w:p>
    <w:p w14:paraId="41F2CB49" w14:textId="77777777" w:rsidR="00F03871" w:rsidRDefault="00000000">
      <w:pPr>
        <w:pStyle w:val="Compact"/>
        <w:numPr>
          <w:ilvl w:val="0"/>
          <w:numId w:val="2"/>
        </w:numPr>
      </w:pPr>
      <w:r>
        <w:t>Supports regular dialogue to align AI regulations while respecting human rights and fostering innovation. ## Actors</w:t>
      </w:r>
    </w:p>
    <w:tbl>
      <w:tblPr>
        <w:tblStyle w:val="Table"/>
        <w:tblW w:w="5000" w:type="pct"/>
        <w:tblLayout w:type="fixed"/>
        <w:tblLook w:val="0020" w:firstRow="1" w:lastRow="0" w:firstColumn="0" w:lastColumn="0" w:noHBand="0" w:noVBand="0"/>
      </w:tblPr>
      <w:tblGrid>
        <w:gridCol w:w="4527"/>
        <w:gridCol w:w="4527"/>
      </w:tblGrid>
      <w:tr w:rsidR="00F03871" w14:paraId="125D2261" w14:textId="77777777" w:rsidTr="00F03871">
        <w:trPr>
          <w:cnfStyle w:val="100000000000" w:firstRow="1" w:lastRow="0" w:firstColumn="0" w:lastColumn="0" w:oddVBand="0" w:evenVBand="0" w:oddHBand="0" w:evenHBand="0" w:firstRowFirstColumn="0" w:firstRowLastColumn="0" w:lastRowFirstColumn="0" w:lastRowLastColumn="0"/>
          <w:tblHeader/>
        </w:trPr>
        <w:tc>
          <w:tcPr>
            <w:tcW w:w="3960" w:type="dxa"/>
          </w:tcPr>
          <w:p w14:paraId="1A6D9008" w14:textId="77777777" w:rsidR="00F03871" w:rsidRDefault="00000000">
            <w:pPr>
              <w:pStyle w:val="Compact"/>
            </w:pPr>
            <w:r>
              <w:t>Category</w:t>
            </w:r>
          </w:p>
        </w:tc>
        <w:tc>
          <w:tcPr>
            <w:tcW w:w="3960" w:type="dxa"/>
          </w:tcPr>
          <w:p w14:paraId="783B3495" w14:textId="77777777" w:rsidR="00F03871" w:rsidRDefault="00000000">
            <w:pPr>
              <w:pStyle w:val="Compact"/>
            </w:pPr>
            <w:r>
              <w:t>Actors</w:t>
            </w:r>
          </w:p>
        </w:tc>
      </w:tr>
      <w:tr w:rsidR="00F03871" w:rsidRPr="00074997" w14:paraId="0645C5A3" w14:textId="77777777">
        <w:tc>
          <w:tcPr>
            <w:tcW w:w="3960" w:type="dxa"/>
          </w:tcPr>
          <w:p w14:paraId="19FCAC99" w14:textId="1874340A" w:rsidR="00F03871" w:rsidRDefault="00074997">
            <w:pPr>
              <w:pStyle w:val="Compact"/>
            </w:pPr>
            <w:r>
              <w:t xml:space="preserve"> </w:t>
            </w:r>
            <w:r w:rsidR="00000000">
              <w:t>Political Actors</w:t>
            </w:r>
            <w:r>
              <w:t xml:space="preserve"> </w:t>
            </w:r>
          </w:p>
        </w:tc>
        <w:tc>
          <w:tcPr>
            <w:tcW w:w="3960" w:type="dxa"/>
          </w:tcPr>
          <w:p w14:paraId="0D761664" w14:textId="4395A48E" w:rsidR="00F03871" w:rsidRPr="00074997" w:rsidRDefault="00074997">
            <w:pPr>
              <w:pStyle w:val="Compact"/>
              <w:rPr>
                <w:lang w:val="es-EC"/>
              </w:rPr>
            </w:pPr>
            <w:r>
              <w:rPr>
                <w:lang w:val="es-EC"/>
              </w:rPr>
              <w:t xml:space="preserve"> </w:t>
            </w:r>
            <w:proofErr w:type="gramStart"/>
            <w:r w:rsidR="00000000" w:rsidRPr="00074997">
              <w:rPr>
                <w:lang w:val="es-EC"/>
              </w:rPr>
              <w:t>EU</w:t>
            </w:r>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gramStart"/>
            <w:r w:rsidR="00000000" w:rsidRPr="00074997">
              <w:rPr>
                <w:lang w:val="es-EC"/>
              </w:rPr>
              <w:t>Argentina</w:t>
            </w:r>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spellStart"/>
            <w:r w:rsidR="00000000" w:rsidRPr="00074997">
              <w:rPr>
                <w:lang w:val="es-EC"/>
              </w:rPr>
              <w:t>The</w:t>
            </w:r>
            <w:proofErr w:type="spellEnd"/>
            <w:r w:rsidR="00000000" w:rsidRPr="00074997">
              <w:rPr>
                <w:lang w:val="es-EC"/>
              </w:rPr>
              <w:t xml:space="preserve"> </w:t>
            </w:r>
            <w:proofErr w:type="gramStart"/>
            <w:r w:rsidR="00000000" w:rsidRPr="00074997">
              <w:rPr>
                <w:lang w:val="es-EC"/>
              </w:rPr>
              <w:t>Bahamas</w:t>
            </w:r>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gramStart"/>
            <w:r w:rsidR="00000000" w:rsidRPr="00074997">
              <w:rPr>
                <w:lang w:val="es-EC"/>
              </w:rPr>
              <w:t>Barbados</w:t>
            </w:r>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spellStart"/>
            <w:proofErr w:type="gramStart"/>
            <w:r w:rsidR="00000000" w:rsidRPr="00074997">
              <w:rPr>
                <w:lang w:val="es-EC"/>
              </w:rPr>
              <w:t>Brazil</w:t>
            </w:r>
            <w:proofErr w:type="spellEnd"/>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gramStart"/>
            <w:r w:rsidR="00000000" w:rsidRPr="00074997">
              <w:rPr>
                <w:lang w:val="es-EC"/>
              </w:rPr>
              <w:t>Chile</w:t>
            </w:r>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gramStart"/>
            <w:r w:rsidR="00000000" w:rsidRPr="00074997">
              <w:rPr>
                <w:lang w:val="es-EC"/>
              </w:rPr>
              <w:t>Colombia</w:t>
            </w:r>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r w:rsidR="00000000" w:rsidRPr="00074997">
              <w:rPr>
                <w:lang w:val="es-EC"/>
              </w:rPr>
              <w:t xml:space="preserve">Costa </w:t>
            </w:r>
            <w:proofErr w:type="gramStart"/>
            <w:r w:rsidR="00000000" w:rsidRPr="00074997">
              <w:rPr>
                <w:lang w:val="es-EC"/>
              </w:rPr>
              <w:t>Rica</w:t>
            </w:r>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spellStart"/>
            <w:r w:rsidR="00000000" w:rsidRPr="00074997">
              <w:rPr>
                <w:lang w:val="es-EC"/>
              </w:rPr>
              <w:t>Dominican</w:t>
            </w:r>
            <w:proofErr w:type="spellEnd"/>
            <w:r w:rsidR="00000000" w:rsidRPr="00074997">
              <w:rPr>
                <w:lang w:val="es-EC"/>
              </w:rPr>
              <w:t xml:space="preserve"> </w:t>
            </w:r>
            <w:proofErr w:type="spellStart"/>
            <w:proofErr w:type="gramStart"/>
            <w:r w:rsidR="00000000" w:rsidRPr="00074997">
              <w:rPr>
                <w:lang w:val="es-EC"/>
              </w:rPr>
              <w:t>Republic</w:t>
            </w:r>
            <w:proofErr w:type="spellEnd"/>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gramStart"/>
            <w:r w:rsidR="00000000" w:rsidRPr="00074997">
              <w:rPr>
                <w:lang w:val="es-EC"/>
              </w:rPr>
              <w:t>Ecuador</w:t>
            </w:r>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r w:rsidR="00000000" w:rsidRPr="00074997">
              <w:rPr>
                <w:lang w:val="es-EC"/>
              </w:rPr>
              <w:t xml:space="preserve">El </w:t>
            </w:r>
            <w:proofErr w:type="gramStart"/>
            <w:r w:rsidR="00000000" w:rsidRPr="00074997">
              <w:rPr>
                <w:lang w:val="es-EC"/>
              </w:rPr>
              <w:t>Salvador</w:t>
            </w:r>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gramStart"/>
            <w:r w:rsidR="00000000" w:rsidRPr="00074997">
              <w:rPr>
                <w:lang w:val="es-EC"/>
              </w:rPr>
              <w:t>Guatemala</w:t>
            </w:r>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gramStart"/>
            <w:r w:rsidR="00000000" w:rsidRPr="00074997">
              <w:rPr>
                <w:lang w:val="es-EC"/>
              </w:rPr>
              <w:t>Honduras</w:t>
            </w:r>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gramStart"/>
            <w:r w:rsidR="00000000" w:rsidRPr="00074997">
              <w:rPr>
                <w:lang w:val="es-EC"/>
              </w:rPr>
              <w:t>Jamaica</w:t>
            </w:r>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spellStart"/>
            <w:proofErr w:type="gramStart"/>
            <w:r w:rsidR="00000000" w:rsidRPr="00074997">
              <w:rPr>
                <w:lang w:val="es-EC"/>
              </w:rPr>
              <w:t>Mexico</w:t>
            </w:r>
            <w:proofErr w:type="spellEnd"/>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spellStart"/>
            <w:proofErr w:type="gramStart"/>
            <w:r w:rsidR="00000000" w:rsidRPr="00074997">
              <w:rPr>
                <w:lang w:val="es-EC"/>
              </w:rPr>
              <w:t>Panama</w:t>
            </w:r>
            <w:proofErr w:type="spellEnd"/>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gramStart"/>
            <w:r w:rsidR="00000000" w:rsidRPr="00074997">
              <w:rPr>
                <w:lang w:val="es-EC"/>
              </w:rPr>
              <w:lastRenderedPageBreak/>
              <w:t>Paraguay</w:t>
            </w:r>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spellStart"/>
            <w:proofErr w:type="gramStart"/>
            <w:r w:rsidR="00000000" w:rsidRPr="00074997">
              <w:rPr>
                <w:lang w:val="es-EC"/>
              </w:rPr>
              <w:t>Peru</w:t>
            </w:r>
            <w:proofErr w:type="spellEnd"/>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spellStart"/>
            <w:proofErr w:type="gramStart"/>
            <w:r w:rsidR="00000000" w:rsidRPr="00074997">
              <w:rPr>
                <w:lang w:val="es-EC"/>
              </w:rPr>
              <w:t>Suriname</w:t>
            </w:r>
            <w:proofErr w:type="spellEnd"/>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r w:rsidR="00000000" w:rsidRPr="00074997">
              <w:rPr>
                <w:lang w:val="es-EC"/>
              </w:rPr>
              <w:t xml:space="preserve">Trinidad and </w:t>
            </w:r>
            <w:proofErr w:type="gramStart"/>
            <w:r w:rsidR="00000000" w:rsidRPr="00074997">
              <w:rPr>
                <w:lang w:val="es-EC"/>
              </w:rPr>
              <w:t>Tobago</w:t>
            </w:r>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gramStart"/>
            <w:r w:rsidR="00000000" w:rsidRPr="00074997">
              <w:rPr>
                <w:lang w:val="es-EC"/>
              </w:rPr>
              <w:t>Uruguay</w:t>
            </w:r>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spellStart"/>
            <w:proofErr w:type="gramStart"/>
            <w:r w:rsidR="00000000" w:rsidRPr="00074997">
              <w:rPr>
                <w:lang w:val="es-EC"/>
              </w:rPr>
              <w:t>Belgium</w:t>
            </w:r>
            <w:proofErr w:type="spellEnd"/>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gramStart"/>
            <w:r w:rsidR="00000000" w:rsidRPr="00074997">
              <w:rPr>
                <w:lang w:val="es-EC"/>
              </w:rPr>
              <w:t>Estonia</w:t>
            </w:r>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spellStart"/>
            <w:proofErr w:type="gramStart"/>
            <w:r w:rsidR="00000000" w:rsidRPr="00074997">
              <w:rPr>
                <w:lang w:val="es-EC"/>
              </w:rPr>
              <w:t>Germany</w:t>
            </w:r>
            <w:proofErr w:type="spellEnd"/>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spellStart"/>
            <w:proofErr w:type="gramStart"/>
            <w:r w:rsidR="00000000" w:rsidRPr="00074997">
              <w:rPr>
                <w:lang w:val="es-EC"/>
              </w:rPr>
              <w:t>Slovenia</w:t>
            </w:r>
            <w:proofErr w:type="spellEnd"/>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spellStart"/>
            <w:proofErr w:type="gramStart"/>
            <w:r w:rsidR="00000000" w:rsidRPr="00074997">
              <w:rPr>
                <w:lang w:val="es-EC"/>
              </w:rPr>
              <w:t>Spain</w:t>
            </w:r>
            <w:proofErr w:type="spellEnd"/>
            <w:r>
              <w:rPr>
                <w:lang w:val="es-EC"/>
              </w:rPr>
              <w:t xml:space="preserve"> </w:t>
            </w:r>
            <w:r w:rsidR="00000000" w:rsidRPr="00074997">
              <w:rPr>
                <w:lang w:val="es-EC"/>
              </w:rPr>
              <w:t>;</w:t>
            </w:r>
            <w:proofErr w:type="gramEnd"/>
            <w:r w:rsidR="00000000" w:rsidRPr="00074997">
              <w:rPr>
                <w:lang w:val="es-EC"/>
              </w:rPr>
              <w:t xml:space="preserve"> </w:t>
            </w:r>
            <w:r>
              <w:rPr>
                <w:lang w:val="es-EC"/>
              </w:rPr>
              <w:t xml:space="preserve"> </w:t>
            </w:r>
            <w:proofErr w:type="spellStart"/>
            <w:r w:rsidR="00000000" w:rsidRPr="00074997">
              <w:rPr>
                <w:lang w:val="es-EC"/>
              </w:rPr>
              <w:t>European</w:t>
            </w:r>
            <w:proofErr w:type="spellEnd"/>
            <w:r w:rsidR="00000000" w:rsidRPr="00074997">
              <w:rPr>
                <w:lang w:val="es-EC"/>
              </w:rPr>
              <w:t xml:space="preserve"> </w:t>
            </w:r>
            <w:proofErr w:type="spellStart"/>
            <w:r w:rsidR="00000000" w:rsidRPr="00074997">
              <w:rPr>
                <w:lang w:val="es-EC"/>
              </w:rPr>
              <w:t>Commission</w:t>
            </w:r>
            <w:proofErr w:type="spellEnd"/>
            <w:r>
              <w:rPr>
                <w:lang w:val="es-EC"/>
              </w:rPr>
              <w:t xml:space="preserve"> </w:t>
            </w:r>
          </w:p>
        </w:tc>
      </w:tr>
      <w:tr w:rsidR="00F03871" w14:paraId="66E8311A" w14:textId="77777777">
        <w:tc>
          <w:tcPr>
            <w:tcW w:w="3960" w:type="dxa"/>
          </w:tcPr>
          <w:p w14:paraId="3DBBA062" w14:textId="646A6425" w:rsidR="00F03871" w:rsidRDefault="00074997">
            <w:pPr>
              <w:pStyle w:val="Compact"/>
            </w:pPr>
            <w:r w:rsidRPr="00074997">
              <w:rPr>
                <w:lang w:val="es-EC"/>
              </w:rPr>
              <w:lastRenderedPageBreak/>
              <w:t xml:space="preserve"> </w:t>
            </w:r>
            <w:r w:rsidR="00000000">
              <w:t>Research and Innovation Actors</w:t>
            </w:r>
            <w:r>
              <w:t xml:space="preserve"> </w:t>
            </w:r>
          </w:p>
        </w:tc>
        <w:tc>
          <w:tcPr>
            <w:tcW w:w="3960" w:type="dxa"/>
          </w:tcPr>
          <w:p w14:paraId="6204A2D8" w14:textId="301D1769" w:rsidR="00F03871" w:rsidRDefault="00074997">
            <w:pPr>
              <w:pStyle w:val="Compact"/>
            </w:pPr>
            <w:r>
              <w:t xml:space="preserve"> </w:t>
            </w:r>
            <w:r w:rsidR="00000000">
              <w:t>UNESCO</w:t>
            </w:r>
            <w:r>
              <w:t xml:space="preserve"> </w:t>
            </w:r>
          </w:p>
        </w:tc>
      </w:tr>
    </w:tbl>
    <w:p w14:paraId="74B09D37" w14:textId="77777777" w:rsidR="00F03871" w:rsidRDefault="00000000">
      <w:pPr>
        <w:pStyle w:val="Ttulo2"/>
      </w:pPr>
      <w:bookmarkStart w:id="3" w:name="main-themes"/>
      <w:bookmarkEnd w:id="2"/>
      <w:r>
        <w:t>Main Themes</w:t>
      </w:r>
    </w:p>
    <w:tbl>
      <w:tblPr>
        <w:tblStyle w:val="Table"/>
        <w:tblW w:w="0" w:type="auto"/>
        <w:tblLook w:val="0020" w:firstRow="1" w:lastRow="0" w:firstColumn="0" w:lastColumn="0" w:noHBand="0" w:noVBand="0"/>
      </w:tblPr>
      <w:tblGrid>
        <w:gridCol w:w="2966"/>
        <w:gridCol w:w="3359"/>
      </w:tblGrid>
      <w:tr w:rsidR="00F03871" w14:paraId="00C2CEDB" w14:textId="77777777" w:rsidTr="00F03871">
        <w:trPr>
          <w:cnfStyle w:val="100000000000" w:firstRow="1" w:lastRow="0" w:firstColumn="0" w:lastColumn="0" w:oddVBand="0" w:evenVBand="0" w:oddHBand="0" w:evenHBand="0" w:firstRowFirstColumn="0" w:firstRowLastColumn="0" w:lastRowFirstColumn="0" w:lastRowLastColumn="0"/>
          <w:tblHeader/>
        </w:trPr>
        <w:tc>
          <w:tcPr>
            <w:tcW w:w="0" w:type="auto"/>
          </w:tcPr>
          <w:p w14:paraId="368C40F7" w14:textId="77777777" w:rsidR="00F03871" w:rsidRDefault="00000000">
            <w:pPr>
              <w:pStyle w:val="Compact"/>
            </w:pPr>
            <w:r>
              <w:t>Sub-category</w:t>
            </w:r>
          </w:p>
        </w:tc>
        <w:tc>
          <w:tcPr>
            <w:tcW w:w="0" w:type="auto"/>
          </w:tcPr>
          <w:p w14:paraId="3DA5127B" w14:textId="77777777" w:rsidR="00F03871" w:rsidRDefault="00000000">
            <w:pPr>
              <w:pStyle w:val="Compact"/>
            </w:pPr>
            <w:r>
              <w:t>Themes</w:t>
            </w:r>
          </w:p>
        </w:tc>
      </w:tr>
      <w:tr w:rsidR="00F03871" w14:paraId="394AB9BF" w14:textId="77777777">
        <w:tc>
          <w:tcPr>
            <w:tcW w:w="0" w:type="auto"/>
          </w:tcPr>
          <w:p w14:paraId="4C8656B0" w14:textId="77777777" w:rsidR="00F03871" w:rsidRDefault="00000000">
            <w:pPr>
              <w:pStyle w:val="Compact"/>
            </w:pPr>
            <w:r>
              <w:t>Digital Regulation</w:t>
            </w:r>
          </w:p>
        </w:tc>
        <w:tc>
          <w:tcPr>
            <w:tcW w:w="0" w:type="auto"/>
          </w:tcPr>
          <w:p w14:paraId="58B88171" w14:textId="77777777" w:rsidR="00F03871" w:rsidRDefault="00000000">
            <w:pPr>
              <w:pStyle w:val="Compact"/>
            </w:pPr>
            <w:r>
              <w:t>Digital Policy</w:t>
            </w:r>
          </w:p>
        </w:tc>
      </w:tr>
      <w:tr w:rsidR="00F03871" w14:paraId="1B279ECB" w14:textId="77777777">
        <w:tc>
          <w:tcPr>
            <w:tcW w:w="0" w:type="auto"/>
          </w:tcPr>
          <w:p w14:paraId="02C4AB3C" w14:textId="77777777" w:rsidR="00F03871" w:rsidRDefault="00000000">
            <w:pPr>
              <w:pStyle w:val="Compact"/>
            </w:pPr>
            <w:r>
              <w:t>Global Digital Cooperation</w:t>
            </w:r>
          </w:p>
        </w:tc>
        <w:tc>
          <w:tcPr>
            <w:tcW w:w="0" w:type="auto"/>
          </w:tcPr>
          <w:p w14:paraId="4DE9BDEA" w14:textId="77777777" w:rsidR="00F03871" w:rsidRDefault="00000000">
            <w:pPr>
              <w:pStyle w:val="Compact"/>
            </w:pPr>
            <w:r>
              <w:t>Digital Cooperation</w:t>
            </w:r>
          </w:p>
        </w:tc>
      </w:tr>
      <w:tr w:rsidR="00F03871" w14:paraId="714660E0" w14:textId="77777777">
        <w:tc>
          <w:tcPr>
            <w:tcW w:w="0" w:type="auto"/>
          </w:tcPr>
          <w:p w14:paraId="5A0381A0" w14:textId="77777777" w:rsidR="00F03871" w:rsidRDefault="00000000">
            <w:pPr>
              <w:pStyle w:val="Compact"/>
            </w:pPr>
            <w:r>
              <w:t>Artificial Intelligence</w:t>
            </w:r>
          </w:p>
        </w:tc>
        <w:tc>
          <w:tcPr>
            <w:tcW w:w="0" w:type="auto"/>
          </w:tcPr>
          <w:p w14:paraId="5390B396" w14:textId="77777777" w:rsidR="00F03871" w:rsidRDefault="00000000">
            <w:pPr>
              <w:pStyle w:val="Compact"/>
            </w:pPr>
            <w:r>
              <w:t>AI Development</w:t>
            </w:r>
          </w:p>
        </w:tc>
      </w:tr>
      <w:tr w:rsidR="00F03871" w14:paraId="3B059B44" w14:textId="77777777">
        <w:tc>
          <w:tcPr>
            <w:tcW w:w="0" w:type="auto"/>
          </w:tcPr>
          <w:p w14:paraId="33FF53FB" w14:textId="77777777" w:rsidR="00F03871" w:rsidRDefault="00000000">
            <w:pPr>
              <w:pStyle w:val="Compact"/>
            </w:pPr>
            <w:r>
              <w:t>AI Ethics</w:t>
            </w:r>
          </w:p>
        </w:tc>
        <w:tc>
          <w:tcPr>
            <w:tcW w:w="0" w:type="auto"/>
          </w:tcPr>
          <w:p w14:paraId="65459F85" w14:textId="77777777" w:rsidR="00F03871" w:rsidRDefault="00000000">
            <w:pPr>
              <w:pStyle w:val="Compact"/>
            </w:pPr>
            <w:r>
              <w:t>Ethical AI</w:t>
            </w:r>
          </w:p>
        </w:tc>
      </w:tr>
      <w:tr w:rsidR="00F03871" w14:paraId="290F8EFA" w14:textId="77777777">
        <w:tc>
          <w:tcPr>
            <w:tcW w:w="0" w:type="auto"/>
          </w:tcPr>
          <w:p w14:paraId="61225365" w14:textId="77777777" w:rsidR="00F03871" w:rsidRDefault="00000000">
            <w:pPr>
              <w:pStyle w:val="Compact"/>
            </w:pPr>
            <w:r>
              <w:t>Tech-Driven Solutions</w:t>
            </w:r>
          </w:p>
        </w:tc>
        <w:tc>
          <w:tcPr>
            <w:tcW w:w="0" w:type="auto"/>
          </w:tcPr>
          <w:p w14:paraId="7CE645C5" w14:textId="77777777" w:rsidR="00F03871" w:rsidRDefault="00000000">
            <w:pPr>
              <w:pStyle w:val="Compact"/>
            </w:pPr>
            <w:r>
              <w:t>Innovation in AI</w:t>
            </w:r>
          </w:p>
        </w:tc>
      </w:tr>
      <w:tr w:rsidR="00F03871" w14:paraId="68E9EA40" w14:textId="77777777">
        <w:tc>
          <w:tcPr>
            <w:tcW w:w="0" w:type="auto"/>
          </w:tcPr>
          <w:p w14:paraId="54ECE2C3" w14:textId="77777777" w:rsidR="00F03871" w:rsidRDefault="00000000">
            <w:pPr>
              <w:pStyle w:val="Compact"/>
            </w:pPr>
            <w:r>
              <w:t>Digital Rights</w:t>
            </w:r>
          </w:p>
        </w:tc>
        <w:tc>
          <w:tcPr>
            <w:tcW w:w="0" w:type="auto"/>
          </w:tcPr>
          <w:p w14:paraId="1EC439CB" w14:textId="77777777" w:rsidR="00F03871" w:rsidRDefault="00000000">
            <w:pPr>
              <w:pStyle w:val="Compact"/>
            </w:pPr>
            <w:r>
              <w:t>Human Rights in AI</w:t>
            </w:r>
          </w:p>
        </w:tc>
      </w:tr>
      <w:tr w:rsidR="00F03871" w14:paraId="712A0466" w14:textId="77777777">
        <w:tc>
          <w:tcPr>
            <w:tcW w:w="0" w:type="auto"/>
          </w:tcPr>
          <w:p w14:paraId="70CC7A5B" w14:textId="77777777" w:rsidR="00F03871" w:rsidRDefault="00000000">
            <w:pPr>
              <w:pStyle w:val="Compact"/>
            </w:pPr>
            <w:r>
              <w:t>Digital Investment</w:t>
            </w:r>
          </w:p>
        </w:tc>
        <w:tc>
          <w:tcPr>
            <w:tcW w:w="0" w:type="auto"/>
          </w:tcPr>
          <w:p w14:paraId="6F7EDE7B" w14:textId="77777777" w:rsidR="00F03871" w:rsidRDefault="00000000">
            <w:pPr>
              <w:pStyle w:val="Compact"/>
            </w:pPr>
            <w:r>
              <w:t>Investment in Digital</w:t>
            </w:r>
          </w:p>
        </w:tc>
      </w:tr>
      <w:tr w:rsidR="00F03871" w14:paraId="601E5942" w14:textId="77777777">
        <w:tc>
          <w:tcPr>
            <w:tcW w:w="0" w:type="auto"/>
          </w:tcPr>
          <w:p w14:paraId="73F7B6A9" w14:textId="77777777" w:rsidR="00F03871" w:rsidRDefault="00000000">
            <w:pPr>
              <w:pStyle w:val="Compact"/>
            </w:pPr>
            <w:r>
              <w:t>Digital Governance</w:t>
            </w:r>
          </w:p>
        </w:tc>
        <w:tc>
          <w:tcPr>
            <w:tcW w:w="0" w:type="auto"/>
          </w:tcPr>
          <w:p w14:paraId="01276A1C" w14:textId="77777777" w:rsidR="00F03871" w:rsidRDefault="00000000">
            <w:pPr>
              <w:pStyle w:val="Compact"/>
            </w:pPr>
            <w:r>
              <w:t>Best Practices in AI Regulation</w:t>
            </w:r>
          </w:p>
        </w:tc>
      </w:tr>
    </w:tbl>
    <w:p w14:paraId="075335D0" w14:textId="77777777" w:rsidR="00F03871" w:rsidRDefault="00000000">
      <w:pPr>
        <w:pStyle w:val="Ttulo2"/>
      </w:pPr>
      <w:bookmarkStart w:id="4" w:name="practical-applications"/>
      <w:bookmarkEnd w:id="3"/>
      <w:r>
        <w:t>Practical Applications</w:t>
      </w:r>
    </w:p>
    <w:p w14:paraId="1E441CAB" w14:textId="77777777" w:rsidR="00F03871" w:rsidRDefault="00000000">
      <w:pPr>
        <w:pStyle w:val="Compact"/>
        <w:numPr>
          <w:ilvl w:val="0"/>
          <w:numId w:val="3"/>
        </w:numPr>
      </w:pPr>
      <w:r>
        <w:t>Establishment of the Digital Alliance EU-LAC, a framework for cooperation among EU and Latin American and Caribbean countries to promote human-centric digital cooperation and convergence of digital policy and regulatory frameworks on AI.</w:t>
      </w:r>
    </w:p>
    <w:p w14:paraId="360C9720" w14:textId="77777777" w:rsidR="00F03871" w:rsidRDefault="00000000">
      <w:pPr>
        <w:pStyle w:val="Compact"/>
        <w:numPr>
          <w:ilvl w:val="0"/>
          <w:numId w:val="3"/>
        </w:numPr>
      </w:pPr>
      <w:r>
        <w:t>Commitment by Argentina, Colombia, Chile, Dominican Republic, Mexico, Panama, and Uruguay, along with Belgium, Estonia, Germany, Slovenia, and Spain, to exchange best practices on AI regulation and support implementation through guidelines, recommendations, and regulatory sandboxes.</w:t>
      </w:r>
    </w:p>
    <w:p w14:paraId="1C0E79A6" w14:textId="77777777" w:rsidR="00F03871" w:rsidRDefault="00000000">
      <w:pPr>
        <w:pStyle w:val="Compact"/>
        <w:numPr>
          <w:ilvl w:val="0"/>
          <w:numId w:val="3"/>
        </w:numPr>
      </w:pPr>
      <w:r>
        <w:t>Creation of regulatory sandboxes under the upcoming Regulation on AI in the EU to enable the development and testing of innovative AI systems in a controlled environment.</w:t>
      </w:r>
    </w:p>
    <w:p w14:paraId="725D92AB" w14:textId="77777777" w:rsidR="00F03871" w:rsidRDefault="00000000">
      <w:pPr>
        <w:pStyle w:val="Compact"/>
        <w:numPr>
          <w:ilvl w:val="0"/>
          <w:numId w:val="3"/>
        </w:numPr>
      </w:pPr>
      <w:r>
        <w:t>Implementation of a bi-regional investment package for the Digital Alliance to support the initiatives outlined in the statement.</w:t>
      </w:r>
    </w:p>
    <w:p w14:paraId="0AD0A143" w14:textId="77777777" w:rsidR="00F03871" w:rsidRDefault="00000000">
      <w:pPr>
        <w:pStyle w:val="Compact"/>
        <w:numPr>
          <w:ilvl w:val="0"/>
          <w:numId w:val="3"/>
        </w:numPr>
      </w:pPr>
      <w:r>
        <w:t>Regular dialogues among participating states to exchange information and foster the development of AI regulation that promotes innovation, human capital, and infrastructure while ensuring safety and human rights.</w:t>
      </w:r>
    </w:p>
    <w:p w14:paraId="00C733A0" w14:textId="77777777" w:rsidR="00F03871" w:rsidRDefault="00000000">
      <w:pPr>
        <w:pStyle w:val="Ttulo2"/>
      </w:pPr>
      <w:bookmarkStart w:id="5" w:name="future-commitments"/>
      <w:bookmarkEnd w:id="4"/>
      <w:r>
        <w:lastRenderedPageBreak/>
        <w:t>Future Commitments</w:t>
      </w:r>
    </w:p>
    <w:p w14:paraId="75144203" w14:textId="77777777" w:rsidR="00F03871" w:rsidRDefault="00000000">
      <w:pPr>
        <w:pStyle w:val="Compact"/>
        <w:numPr>
          <w:ilvl w:val="0"/>
          <w:numId w:val="4"/>
        </w:numPr>
      </w:pPr>
      <w:r>
        <w:t>States will promote the exchange of best practices and sharing of operational regulatory measures and guidelines under the scope of the Regulation on AI and the Coordinated Plan on AI.</w:t>
      </w:r>
    </w:p>
    <w:p w14:paraId="25355279" w14:textId="77777777" w:rsidR="00F03871" w:rsidRDefault="00000000">
      <w:pPr>
        <w:pStyle w:val="Compact"/>
        <w:numPr>
          <w:ilvl w:val="0"/>
          <w:numId w:val="4"/>
        </w:numPr>
      </w:pPr>
      <w:r>
        <w:t>A bi-regional investment package exists for the implementation of the Digital Alliance, with states to jointly define the form of investment to be allocated.</w:t>
      </w:r>
    </w:p>
    <w:p w14:paraId="09A9A1D6" w14:textId="77777777" w:rsidR="00F03871" w:rsidRDefault="00000000">
      <w:pPr>
        <w:pStyle w:val="Compact"/>
        <w:numPr>
          <w:ilvl w:val="0"/>
          <w:numId w:val="4"/>
        </w:numPr>
      </w:pPr>
      <w:r>
        <w:t>States will maintain a regular dialogue to exchange information with a view to converging digital policy and regulatory frameworks on AI.</w:t>
      </w:r>
      <w:bookmarkEnd w:id="0"/>
      <w:bookmarkEnd w:id="5"/>
    </w:p>
    <w:sectPr w:rsidR="00F03871">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6BAC3A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72E85E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948783709">
    <w:abstractNumId w:val="0"/>
  </w:num>
  <w:num w:numId="2" w16cid:durableId="1277559658">
    <w:abstractNumId w:val="1"/>
  </w:num>
  <w:num w:numId="3" w16cid:durableId="393628102">
    <w:abstractNumId w:val="1"/>
  </w:num>
  <w:num w:numId="4" w16cid:durableId="1151630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F03871"/>
    <w:rsid w:val="00074997"/>
    <w:rsid w:val="00EE3216"/>
    <w:rsid w:val="00F0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1743"/>
  <w15:docId w15:val="{DF96493A-C581-444C-A61C-AEFE9342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tulo"/>
    <w:next w:val="Textoindependiente"/>
    <w:qFormat/>
    <w:pPr>
      <w:keepNext/>
      <w:keepLines/>
    </w:pPr>
    <w:rPr>
      <w:sz w:val="24"/>
      <w:szCs w:val="24"/>
    </w:rPr>
  </w:style>
  <w:style w:type="paragraph" w:styleId="Fecha">
    <w:name w:val="Date"/>
    <w:basedOn w:val="Ttulo"/>
    <w:next w:val="Textoindependiente"/>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609</Words>
  <Characters>3351</Characters>
  <Application>Microsoft Office Word</Application>
  <DocSecurity>0</DocSecurity>
  <Lines>27</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Felipe Mendieta</cp:lastModifiedBy>
  <cp:revision>2</cp:revision>
  <dcterms:created xsi:type="dcterms:W3CDTF">2025-05-09T21:45:00Z</dcterms:created>
  <dcterms:modified xsi:type="dcterms:W3CDTF">2025-05-12T14:41:00Z</dcterms:modified>
</cp:coreProperties>
</file>