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Faithfulness Score</w:t>
      </w:r>
      <w:r>
        <w:t xml:space="preserve">: 100/100 - Excellent</w:t>
      </w:r>
    </w:p>
    <w:bookmarkStart w:id="28" w:name="summary-of-the-40th-session-of-eclac"/>
    <w:p>
      <w:pPr>
        <w:pStyle w:val="Heading1"/>
      </w:pPr>
      <w:r>
        <w:t xml:space="preserve">“Summary of the 40th Session of ECLAC”</w:t>
      </w:r>
    </w:p>
    <w:p>
      <w:pPr>
        <w:pStyle w:val="FirstParagraph"/>
      </w:pPr>
      <w:r>
        <w:rPr>
          <w:b/>
          <w:bCs/>
        </w:rPr>
        <w:t xml:space="preserve">Date</w:t>
      </w:r>
      <w:r>
        <w:t xml:space="preserve">: No information available.</w:t>
      </w:r>
    </w:p>
    <w:p>
      <w:pPr>
        <w:pStyle w:val="BodyText"/>
      </w:pPr>
      <w:r>
        <w:rPr>
          <w:b/>
          <w:bCs/>
        </w:rPr>
        <w:t xml:space="preserve">Location</w:t>
      </w:r>
      <w:r>
        <w:t xml:space="preserve">: The principal location is likely to be Chile, specifically Santiago, as the Economic Commission for Latin America and the Caribbean (ECLAC) is headquartered there.</w:t>
      </w:r>
    </w:p>
    <w:bookmarkStart w:id="20" w:name="executive-summary"/>
    <w:p>
      <w:pPr>
        <w:pStyle w:val="Heading2"/>
      </w:pPr>
      <w:r>
        <w:t xml:space="preserve">Executive Summary</w:t>
      </w:r>
    </w:p>
    <w:p>
      <w:pPr>
        <w:pStyle w:val="FirstParagraph"/>
      </w:pPr>
      <w:r>
        <w:t xml:space="preserve">The folder contains documents related to the 40th session of the Economic Commission for Latin America and the Caribbean (ECLAC). Key themes include regional economic challenges, sustainable development, and strategies for post-pandemic recovery. The session emphasizes collaboration among member states to address issues such as inequality, climate change, and economic resilience. Discussions focus on innovative policies and frameworks to enhance social protection and promote inclusive growth. The importance of integrating gender perspectives and fostering digital transformation in economic strategies is also highlighted. Overall, the session aims to strengthen regional cooperation and develop actionable solutions for sustainable development in Latin America and the Caribbean.</w:t>
      </w:r>
    </w:p>
    <w:bookmarkEnd w:id="20"/>
    <w:bookmarkStart w:id="21" w:name="characteristics"/>
    <w:p>
      <w:pPr>
        <w:pStyle w:val="Heading2"/>
      </w:pPr>
      <w:r>
        <w:t xml:space="preserve">Characteristics</w:t>
      </w:r>
    </w:p>
    <w:p>
      <w:pPr>
        <w:pStyle w:val="Compact"/>
        <w:numPr>
          <w:ilvl w:val="0"/>
          <w:numId w:val="1001"/>
        </w:numPr>
      </w:pPr>
      <w:r>
        <w:t xml:space="preserve">The session focuses on economic and social development in Latin America and the Caribbean.</w:t>
      </w:r>
    </w:p>
    <w:p>
      <w:pPr>
        <w:pStyle w:val="Compact"/>
        <w:numPr>
          <w:ilvl w:val="0"/>
          <w:numId w:val="1001"/>
        </w:numPr>
      </w:pPr>
      <w:r>
        <w:t xml:space="preserve">It emphasizes sustainable development and regional cooperation.</w:t>
      </w:r>
    </w:p>
    <w:p>
      <w:pPr>
        <w:pStyle w:val="Compact"/>
        <w:numPr>
          <w:ilvl w:val="0"/>
          <w:numId w:val="1001"/>
        </w:numPr>
      </w:pPr>
      <w:r>
        <w:t xml:space="preserve">Key discussions include poverty reduction and inequality.</w:t>
      </w:r>
    </w:p>
    <w:p>
      <w:pPr>
        <w:pStyle w:val="Compact"/>
        <w:numPr>
          <w:ilvl w:val="0"/>
          <w:numId w:val="1001"/>
        </w:numPr>
      </w:pPr>
      <w:r>
        <w:t xml:space="preserve">The session features presentations from various stakeholders and experts.</w:t>
      </w:r>
    </w:p>
    <w:p>
      <w:pPr>
        <w:pStyle w:val="Compact"/>
        <w:numPr>
          <w:ilvl w:val="0"/>
          <w:numId w:val="1001"/>
        </w:numPr>
      </w:pPr>
      <w:r>
        <w:t xml:space="preserve">It aims to formulate actionable policies and strategies for member states.</w:t>
      </w:r>
    </w:p>
    <w:bookmarkEnd w:id="21"/>
    <w:bookmarkStart w:id="23" w:name="actors"/>
    <w:p>
      <w:pPr>
        <w:pStyle w:val="Heading2"/>
      </w:pPr>
      <w:r>
        <w:t xml:space="preserve">Actors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Actors</w:t>
            </w:r>
          </w:p>
        </w:tc>
      </w:tr>
      <w:tr>
        <w:tc>
          <w:tcPr/>
          <w:p>
            <w:pPr>
              <w:pStyle w:val="Compact"/>
            </w:pPr>
            <w:r>
              <w:t xml:space="preserve">Unclassified</w:t>
            </w:r>
          </w:p>
        </w:tc>
        <w:tc>
          <w:tcPr/>
          <w:p>
            <w:pPr>
              <w:pStyle w:val="Compact"/>
            </w:pPr>
          </w:p>
        </w:tc>
      </w:tr>
    </w:tbl>
    <w:bookmarkStart w:id="22" w:name="main-actors-descriptions"/>
    <w:p>
      <w:pPr>
        <w:pStyle w:val="Heading3"/>
      </w:pPr>
      <w:r>
        <w:t xml:space="preserve">Main Actors Descriptions</w:t>
      </w:r>
    </w:p>
    <w:p>
      <w:pPr>
        <w:pStyle w:val="Compact"/>
        <w:numPr>
          <w:ilvl w:val="0"/>
          <w:numId w:val="1002"/>
        </w:numPr>
      </w:pPr>
      <w:r>
        <w:rPr>
          <w:b/>
          <w:bCs/>
        </w:rPr>
        <w:t xml:space="preserve">Governments</w:t>
      </w:r>
      <w:r>
        <w:t xml:space="preserve">: National administrative bodies and authorities involved in policy-making and implementation.</w:t>
      </w:r>
    </w:p>
    <w:p>
      <w:pPr>
        <w:pStyle w:val="Compact"/>
        <w:numPr>
          <w:ilvl w:val="0"/>
          <w:numId w:val="1002"/>
        </w:numPr>
      </w:pPr>
      <w:r>
        <w:rPr>
          <w:b/>
          <w:bCs/>
        </w:rPr>
        <w:t xml:space="preserve">Government Officials</w:t>
      </w:r>
      <w:r>
        <w:t xml:space="preserve">: Individuals holding positions in government administrations who influence decision-making processes.</w:t>
      </w:r>
    </w:p>
    <w:p>
      <w:pPr>
        <w:pStyle w:val="Compact"/>
        <w:numPr>
          <w:ilvl w:val="0"/>
          <w:numId w:val="1002"/>
        </w:numPr>
      </w:pPr>
      <w:r>
        <w:rPr>
          <w:b/>
          <w:bCs/>
        </w:rPr>
        <w:t xml:space="preserve">Community of Latin American and Caribbean States</w:t>
      </w:r>
      <w:r>
        <w:t xml:space="preserve">: Regional bloc of Latin American and Caribbean nations promoting cooperation.</w:t>
      </w:r>
    </w:p>
    <w:p>
      <w:pPr>
        <w:pStyle w:val="Compact"/>
        <w:numPr>
          <w:ilvl w:val="0"/>
          <w:numId w:val="1002"/>
        </w:numPr>
      </w:pPr>
      <w:r>
        <w:rPr>
          <w:b/>
          <w:bCs/>
        </w:rPr>
        <w:t xml:space="preserve">Southern Common Market (Mercosur)</w:t>
      </w:r>
      <w:r>
        <w:t xml:space="preserve">: South American trade bloc facilitating economic integration among member countries.</w:t>
      </w:r>
    </w:p>
    <w:p>
      <w:pPr>
        <w:pStyle w:val="Compact"/>
        <w:numPr>
          <w:ilvl w:val="0"/>
          <w:numId w:val="1002"/>
        </w:numPr>
      </w:pPr>
      <w:r>
        <w:rPr>
          <w:b/>
          <w:bCs/>
        </w:rPr>
        <w:t xml:space="preserve">Pacific Alliance</w:t>
      </w:r>
      <w:r>
        <w:t xml:space="preserve">: Regional integration initiative involving Latin American countries aimed at enhancing trade and cooperation.</w:t>
      </w:r>
    </w:p>
    <w:p>
      <w:pPr>
        <w:pStyle w:val="Compact"/>
        <w:numPr>
          <w:ilvl w:val="0"/>
          <w:numId w:val="1002"/>
        </w:numPr>
      </w:pPr>
      <w:r>
        <w:rPr>
          <w:b/>
          <w:bCs/>
        </w:rPr>
        <w:t xml:space="preserve">European Union</w:t>
      </w:r>
      <w:r>
        <w:t xml:space="preserve">: Political and economic union of European member states fostering collaboration and integration.</w:t>
      </w:r>
    </w:p>
    <w:p>
      <w:pPr>
        <w:pStyle w:val="Compact"/>
        <w:numPr>
          <w:ilvl w:val="0"/>
          <w:numId w:val="1002"/>
        </w:numPr>
      </w:pPr>
      <w:r>
        <w:rPr>
          <w:b/>
          <w:bCs/>
        </w:rPr>
        <w:t xml:space="preserve">EU Member States</w:t>
      </w:r>
      <w:r>
        <w:t xml:space="preserve">: Countries that are part of the European Union, participating in its policies and initiatives.</w:t>
      </w:r>
    </w:p>
    <w:p>
      <w:pPr>
        <w:pStyle w:val="Compact"/>
        <w:numPr>
          <w:ilvl w:val="0"/>
          <w:numId w:val="1002"/>
        </w:numPr>
      </w:pPr>
      <w:r>
        <w:rPr>
          <w:b/>
          <w:bCs/>
        </w:rPr>
        <w:t xml:space="preserve">European Council</w:t>
      </w:r>
      <w:r>
        <w:t xml:space="preserve">: EU institution that defines political direction and priorities for member states.</w:t>
      </w:r>
    </w:p>
    <w:p>
      <w:pPr>
        <w:pStyle w:val="Compact"/>
        <w:numPr>
          <w:ilvl w:val="0"/>
          <w:numId w:val="1002"/>
        </w:numPr>
      </w:pPr>
      <w:r>
        <w:rPr>
          <w:b/>
          <w:bCs/>
        </w:rPr>
        <w:t xml:space="preserve">European Parliament</w:t>
      </w:r>
      <w:r>
        <w:t xml:space="preserve">: Directly elected legislative body of the European Union responsible for law-making.</w:t>
      </w:r>
    </w:p>
    <w:p>
      <w:pPr>
        <w:pStyle w:val="Compact"/>
        <w:numPr>
          <w:ilvl w:val="0"/>
          <w:numId w:val="1002"/>
        </w:numPr>
      </w:pPr>
      <w:r>
        <w:rPr>
          <w:b/>
          <w:bCs/>
        </w:rPr>
        <w:t xml:space="preserve">European Commission</w:t>
      </w:r>
      <w:r>
        <w:t xml:space="preserve">: Executive branch of the European Union that implements policies and manages the EU’s day-to-day operations.</w:t>
      </w:r>
    </w:p>
    <w:p>
      <w:pPr>
        <w:pStyle w:val="Compact"/>
        <w:numPr>
          <w:ilvl w:val="0"/>
          <w:numId w:val="1002"/>
        </w:numPr>
      </w:pPr>
      <w:r>
        <w:rPr>
          <w:b/>
          <w:bCs/>
        </w:rPr>
        <w:t xml:space="preserve">Ibero-American General Secretariat</w:t>
      </w:r>
      <w:r>
        <w:t xml:space="preserve">: Organization supporting cooperation among Ibero-American countries in various sectors.</w:t>
      </w:r>
    </w:p>
    <w:p>
      <w:pPr>
        <w:pStyle w:val="Compact"/>
        <w:numPr>
          <w:ilvl w:val="0"/>
          <w:numId w:val="1002"/>
        </w:numPr>
      </w:pPr>
      <w:r>
        <w:rPr>
          <w:b/>
          <w:bCs/>
        </w:rPr>
        <w:t xml:space="preserve">United Nations</w:t>
      </w:r>
      <w:r>
        <w:t xml:space="preserve">: International organization promoting global cooperation and addressing international issues.</w:t>
      </w:r>
    </w:p>
    <w:p>
      <w:pPr>
        <w:pStyle w:val="Compact"/>
        <w:numPr>
          <w:ilvl w:val="0"/>
          <w:numId w:val="1002"/>
        </w:numPr>
      </w:pPr>
      <w:r>
        <w:rPr>
          <w:b/>
          <w:bCs/>
        </w:rPr>
        <w:t xml:space="preserve">Non-governmental Institutions</w:t>
      </w:r>
      <w:r>
        <w:t xml:space="preserve">: Organizations independent from government involvement, often advocating for social or political issues.</w:t>
      </w:r>
    </w:p>
    <w:p>
      <w:pPr>
        <w:pStyle w:val="Compact"/>
        <w:numPr>
          <w:ilvl w:val="0"/>
          <w:numId w:val="1002"/>
        </w:numPr>
      </w:pPr>
      <w:r>
        <w:rPr>
          <w:b/>
          <w:bCs/>
        </w:rPr>
        <w:t xml:space="preserve">Civil Society Organisations</w:t>
      </w:r>
      <w:r>
        <w:t xml:space="preserve">: Non-profit groups addressing social or political issues, contributing to public discourse and policy.</w:t>
      </w:r>
    </w:p>
    <w:p>
      <w:pPr>
        <w:pStyle w:val="Compact"/>
        <w:numPr>
          <w:ilvl w:val="0"/>
          <w:numId w:val="1002"/>
        </w:numPr>
      </w:pPr>
      <w:r>
        <w:rPr>
          <w:b/>
          <w:bCs/>
        </w:rPr>
        <w:t xml:space="preserve">Digital Transformation Consultants</w:t>
      </w:r>
      <w:r>
        <w:t xml:space="preserve">: Experts advising organizations on processes of digital change and innovation.</w:t>
      </w:r>
    </w:p>
    <w:p>
      <w:pPr>
        <w:pStyle w:val="Compact"/>
        <w:numPr>
          <w:ilvl w:val="0"/>
          <w:numId w:val="1002"/>
        </w:numPr>
      </w:pPr>
      <w:r>
        <w:rPr>
          <w:b/>
          <w:bCs/>
        </w:rPr>
        <w:t xml:space="preserve">Digital Skills Development Platforms</w:t>
      </w:r>
      <w:r>
        <w:t xml:space="preserve">: Online services providing education and training in digital competencies.</w:t>
      </w:r>
    </w:p>
    <w:bookmarkEnd w:id="22"/>
    <w:bookmarkEnd w:id="23"/>
    <w:bookmarkStart w:id="25" w:name="main-themes"/>
    <w:p>
      <w:pPr>
        <w:pStyle w:val="Heading2"/>
      </w:pPr>
      <w:r>
        <w:t xml:space="preserve">Main Themes</w:t>
      </w:r>
    </w:p>
    <w:p>
      <w:pPr>
        <w:pStyle w:val="FirstParagraph"/>
      </w:pPr>
      <w:r>
        <w:t xml:space="preserve">No themes identified.</w:t>
      </w:r>
    </w:p>
    <w:bookmarkStart w:id="24" w:name="main-themes-description"/>
    <w:p>
      <w:pPr>
        <w:pStyle w:val="Heading3"/>
      </w:pPr>
      <w:r>
        <w:t xml:space="preserve">Main Themes Description</w:t>
      </w:r>
    </w:p>
    <w:p>
      <w:pPr>
        <w:numPr>
          <w:ilvl w:val="0"/>
          <w:numId w:val="1003"/>
        </w:numPr>
      </w:pPr>
      <w:r>
        <w:rPr>
          <w:b/>
          <w:bCs/>
        </w:rPr>
        <w:t xml:space="preserve">Economic Development</w:t>
      </w:r>
      <w:r>
        <w:t xml:space="preserve">: Discussion on strategies for sustainable economic growth in Latin America and the Caribbean, emphasizing the need for inclusive policies that address inequality.</w:t>
      </w:r>
    </w:p>
    <w:p>
      <w:pPr>
        <w:numPr>
          <w:ilvl w:val="0"/>
          <w:numId w:val="1003"/>
        </w:numPr>
      </w:pPr>
      <w:r>
        <w:rPr>
          <w:b/>
          <w:bCs/>
        </w:rPr>
        <w:t xml:space="preserve">Social Inclusion</w:t>
      </w:r>
      <w:r>
        <w:t xml:space="preserve">: Focus on the importance of social equity and inclusion, highlighting initiatives aimed at reducing poverty and improving access to education and healthcare.</w:t>
      </w:r>
    </w:p>
    <w:p>
      <w:pPr>
        <w:numPr>
          <w:ilvl w:val="0"/>
          <w:numId w:val="1003"/>
        </w:numPr>
      </w:pPr>
      <w:r>
        <w:rPr>
          <w:b/>
          <w:bCs/>
        </w:rPr>
        <w:t xml:space="preserve">Environmental Sustainability</w:t>
      </w:r>
      <w:r>
        <w:t xml:space="preserve">: Examination of environmental challenges facing the region, including climate change, and the need for policies that promote sustainable resource management.</w:t>
      </w:r>
    </w:p>
    <w:p>
      <w:pPr>
        <w:numPr>
          <w:ilvl w:val="0"/>
          <w:numId w:val="1003"/>
        </w:numPr>
      </w:pPr>
      <w:r>
        <w:rPr>
          <w:b/>
          <w:bCs/>
        </w:rPr>
        <w:t xml:space="preserve">Regional Cooperation</w:t>
      </w:r>
      <w:r>
        <w:t xml:space="preserve">: Emphasis on the significance of regional collaboration among countries to tackle shared challenges and enhance economic integration.</w:t>
      </w:r>
    </w:p>
    <w:p>
      <w:pPr>
        <w:numPr>
          <w:ilvl w:val="0"/>
          <w:numId w:val="1003"/>
        </w:numPr>
      </w:pPr>
      <w:r>
        <w:rPr>
          <w:b/>
          <w:bCs/>
        </w:rPr>
        <w:t xml:space="preserve">Digital Transformation</w:t>
      </w:r>
      <w:r>
        <w:t xml:space="preserve">: Insights into the role of technology in driving economic growth and improving public services, alongside discussions on bridging the digital divide.</w:t>
      </w:r>
    </w:p>
    <w:p>
      <w:pPr>
        <w:numPr>
          <w:ilvl w:val="0"/>
          <w:numId w:val="1003"/>
        </w:numPr>
      </w:pPr>
      <w:r>
        <w:rPr>
          <w:b/>
          <w:bCs/>
        </w:rPr>
        <w:t xml:space="preserve">Gender Equality</w:t>
      </w:r>
      <w:r>
        <w:t xml:space="preserve">: Addressing the need for gender-responsive policies to empower women and promote their participation in economic and social spheres.</w:t>
      </w:r>
    </w:p>
    <w:p>
      <w:pPr>
        <w:numPr>
          <w:ilvl w:val="0"/>
          <w:numId w:val="1003"/>
        </w:numPr>
      </w:pPr>
      <w:r>
        <w:rPr>
          <w:b/>
          <w:bCs/>
        </w:rPr>
        <w:t xml:space="preserve">Resilience Building</w:t>
      </w:r>
      <w:r>
        <w:t xml:space="preserve">: Strategies for enhancing resilience against economic shocks and natural disasters, with a focus on building adaptive capacities in vulnerable communities.</w:t>
      </w:r>
    </w:p>
    <w:bookmarkEnd w:id="24"/>
    <w:bookmarkEnd w:id="25"/>
    <w:bookmarkStart w:id="26" w:name="practical-applications"/>
    <w:p>
      <w:pPr>
        <w:pStyle w:val="Heading2"/>
      </w:pPr>
      <w:r>
        <w:t xml:space="preserve">Practical Applications</w:t>
      </w:r>
    </w:p>
    <w:p>
      <w:pPr>
        <w:pStyle w:val="Compact"/>
        <w:numPr>
          <w:ilvl w:val="0"/>
          <w:numId w:val="1004"/>
        </w:numPr>
      </w:pPr>
      <w:r>
        <w:t xml:space="preserve">No practical applications identified.</w:t>
      </w:r>
    </w:p>
    <w:bookmarkEnd w:id="26"/>
    <w:bookmarkStart w:id="27" w:name="commitments"/>
    <w:p>
      <w:pPr>
        <w:pStyle w:val="Heading2"/>
      </w:pPr>
      <w:r>
        <w:t xml:space="preserve">Commitments</w:t>
      </w:r>
    </w:p>
    <w:p>
      <w:pPr>
        <w:pStyle w:val="Compact"/>
        <w:numPr>
          <w:ilvl w:val="0"/>
          <w:numId w:val="1005"/>
        </w:numPr>
      </w:pPr>
      <w:r>
        <w:t xml:space="preserve">No specific commitments identified.</w:t>
      </w:r>
    </w:p>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2025-05-13T20:49:57Z</dcterms:created>
  <dcterms:modified xsi:type="dcterms:W3CDTF">2025-05-13T20:49:57Z</dcterms:modified>
</cp:coreProperties>
</file>

<file path=docProps/custom.xml><?xml version="1.0" encoding="utf-8"?>
<Properties xmlns="http://schemas.openxmlformats.org/officeDocument/2006/custom-properties" xmlns:vt="http://schemas.openxmlformats.org/officeDocument/2006/docPropsVTypes"/>
</file>