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Faithfulness Score</w:t>
      </w:r>
      <w:r>
        <w:t xml:space="preserve">: 0/100 - Poor</w:t>
      </w:r>
    </w:p>
    <w:bookmarkStart w:id="28" w:name="Xbcfe9954c2a4557c97506ea1daf1f8cd16c1980"/>
    <w:p>
      <w:pPr>
        <w:pStyle w:val="Heading1"/>
      </w:pPr>
      <w:r>
        <w:t xml:space="preserve">Recap: EU-LAC Digital Alliance Days in Colombia - Joint Collaboration Areas Agreed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2025-05-08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Cartagena de Indias, Colombia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EU-LAC Digital Alliance Days in Cartagena, Colombia (Nov 27-29, 2023) convened over 150 representatives from the EU, LAC, and other sectors to identify concrete areas for digital cooperation. Co-organized by the European Commission, AECID, and D4D Hub, the event focused on a human-centric digital transformation.</w:t>
      </w:r>
    </w:p>
    <w:p>
      <w:pPr>
        <w:pStyle w:val="BodyText"/>
      </w:pPr>
      <w:r>
        <w:t xml:space="preserve">Dialogues on AI, data governance, digital government, connectivity, and cybersecurity resulted in agreement on joint collaboration areas: aligning cybersecurity frameworks, enhancing inclusive connectivity, developing interoperable digital identity, improving data flows, and managing AI risks/opportunities.</w:t>
      </w:r>
    </w:p>
    <w:p>
      <w:pPr>
        <w:pStyle w:val="BodyText"/>
      </w:pPr>
      <w:r>
        <w:t xml:space="preserve">This event marked a key step following the July 2023 Joint Declaration, reinforcing commitment towards the 2025 EU-CELAC Summit in Colombia. Thematic co-leading partnerships were established, with follow-up dialogues planned for 2024, starting with cybersecurity in February. The Alliance is a critical part of the Global Gateway initiative in LAC.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t xml:space="preserve">Held Nov 27-29, 2023, in Cartagena, Colombia, gathering over 150 EU/LAC reps.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r>
        <w:t xml:space="preserve">Aimed to identify concrete areas for EU-LAC digital cooperation.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4"/>
        </w:numPr>
      </w:pPr>
      <w:r>
        <w:t xml:space="preserve">Featured dialogues on AI, data governance, digital government, connectivity, and cybersecurity.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5"/>
        </w:numPr>
      </w:pPr>
      <w:r>
        <w:t xml:space="preserve">Emphasized a human-centric approach to digital transformation.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6"/>
        </w:numPr>
      </w:pPr>
      <w:r>
        <w:t xml:space="preserve">Marked a milestone towards strengthening the bi-regional digital partnership for the 2025 Summit.</w:t>
      </w:r>
    </w:p>
    <w:bookmarkEnd w:id="21"/>
    <w:bookmarkStart w:id="23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Commission; senior government representatives from Latin America and the Caribbean (LAC); European Union (EU); EU Member States; Félix Férnandez-Shaw; Saul Kattan; Miguel González Gullón; LAC countries; Dominican Republic; German Federal Ministry for Economic Cooperation and Development (BMZ)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Research and Innovation Actors</w:t>
            </w:r>
          </w:p>
        </w:tc>
        <w:tc>
          <w:tcPr/>
          <w:p>
            <w:pPr>
              <w:pStyle w:val="Compact"/>
            </w:pPr>
            <w:r>
              <w:t xml:space="preserve">Spanish Agency for International Development (AECID); Digital for Development (D4D) Hub; EU-LAC Digital Alliance; academia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Civil Society Actors</w:t>
            </w:r>
          </w:p>
        </w:tc>
        <w:tc>
          <w:tcPr/>
          <w:p>
            <w:pPr>
              <w:pStyle w:val="Compact"/>
            </w:pPr>
            <w:r>
              <w:t xml:space="preserve">civil society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Economic Actors</w:t>
            </w:r>
          </w:p>
        </w:tc>
        <w:tc>
          <w:tcPr/>
          <w:p>
            <w:pPr>
              <w:pStyle w:val="Compact"/>
            </w:pPr>
            <w:r>
              <w:t xml:space="preserve">private sector</w:t>
            </w:r>
          </w:p>
        </w:tc>
      </w:tr>
    </w:tbl>
    <w:bookmarkStart w:id="22" w:name="main-actors-descriptions"/>
    <w:p>
      <w:pPr>
        <w:pStyle w:val="Heading3"/>
      </w:pPr>
      <w:r>
        <w:t xml:space="preserve">Main Actors Descriptions</w:t>
      </w:r>
    </w:p>
    <w:p>
      <w:pPr>
        <w:pStyle w:val="FirstParagraph"/>
      </w:pPr>
      <w:r>
        <w:t xml:space="preserve">Here are the key actors and stakeholders mentioned in the text, categorized according to the provided taxonomy: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European Commission</w:t>
      </w:r>
      <w:r>
        <w:t xml:space="preserve">: Political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Spanish Agency for International Development (AECID)</w:t>
      </w:r>
      <w:r>
        <w:t xml:space="preserve">: Research and Innovation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Digital for Development (D4D) Hub</w:t>
      </w:r>
      <w:r>
        <w:t xml:space="preserve">: Research and Innovation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Key partners of the EU-LAC Digital Alliance</w:t>
      </w:r>
      <w:r>
        <w:t xml:space="preserve">: Research and Innovation Actors (General category encompassing specific partners mentioned)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Senior government representatives from Latin America and the Caribbean (LAC)</w:t>
      </w:r>
      <w:r>
        <w:t xml:space="preserve">: Political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Senior government representatives from the European Union (EU)</w:t>
      </w:r>
      <w:r>
        <w:t xml:space="preserve">: Political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Senior government representatives from EU Member States</w:t>
      </w:r>
      <w:r>
        <w:t xml:space="preserve">: Political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Civil society</w:t>
      </w:r>
      <w:r>
        <w:t xml:space="preserve">: Civil Society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Academia</w:t>
      </w:r>
      <w:r>
        <w:t xml:space="preserve">: Research and Innovation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Private sector</w:t>
      </w:r>
      <w:r>
        <w:t xml:space="preserve">: Economic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Félix Férnandez-Shaw</w:t>
      </w:r>
      <w:r>
        <w:t xml:space="preserve">: Political Actors (Director for Latin America, the Caribbean and Relations with all Overseas Countries and Territories of the European Commission’s DG-INTPA)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Saul Kattan</w:t>
      </w:r>
      <w:r>
        <w:t xml:space="preserve">: Political Actors (Presidential Adviser on Digital Transformation in Colombia)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Miguel González Gullón</w:t>
      </w:r>
      <w:r>
        <w:t xml:space="preserve">: Political Actors (Head of the AECID Training Center in Cartagena)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EU-LAC Digital Alliance</w:t>
      </w:r>
      <w:r>
        <w:t xml:space="preserve">: Research and Innovation Actors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Dominican Republic</w:t>
      </w:r>
      <w:r>
        <w:t xml:space="preserve">: Political Actors (Mentioned as hosting a follow-up dialogue)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German Federal Ministry for Economic Cooperation and Development (BMZ)</w:t>
      </w:r>
      <w:r>
        <w:t xml:space="preserve">: Political Actors</w:t>
      </w:r>
    </w:p>
    <w:bookmarkEnd w:id="22"/>
    <w:bookmarkEnd w:id="23"/>
    <w:bookmarkStart w:id="25" w:name="main-themes"/>
    <w:p>
      <w:pPr>
        <w:pStyle w:val="Heading2"/>
      </w:pPr>
      <w:r>
        <w:t xml:space="preserve">Main Themes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Digital Transformation &amp; Strategy</w:t>
            </w:r>
          </w:p>
        </w:tc>
        <w:tc>
          <w:tcPr/>
          <w:p>
            <w:pPr>
              <w:pStyle w:val="Compact"/>
            </w:pPr>
            <w:r>
              <w:t xml:space="preserve">Digital Agenda; Digital Infrastructure; Digital Policy; Digital Ecosystem; Digital Regulation; Digital Transitions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Artificial Intelligence; AI Ethics; Tech-Driven Solutions; ICT Innovation; Technology Regulations; Innovation in Computing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&amp; Governance</w:t>
            </w:r>
          </w:p>
        </w:tc>
        <w:tc>
          <w:tcPr/>
          <w:p>
            <w:pPr>
              <w:pStyle w:val="Compact"/>
            </w:pPr>
            <w:r>
              <w:t xml:space="preserve">Data Governance; Digital Rights; Digital Governance; Data Protection; Cybersecurity; Cyber Risk Management; Data Privacy; Digital Access; Digital Identity Management; Digital Ethics; E-Governance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Inclusion &amp; Social Development</w:t>
            </w:r>
          </w:p>
        </w:tc>
        <w:tc>
          <w:tcPr/>
          <w:p>
            <w:pPr>
              <w:pStyle w:val="Compact"/>
            </w:pPr>
            <w:r>
              <w:t xml:space="preserve">Digital Inclusion; Connectivity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Alliance; Bi-regional Cooperation; Global Digital Cooperation; Multilateralism; EU-CELAC Digital Partnership; Digital &amp; Technological Partnerships</w:t>
            </w:r>
          </w:p>
        </w:tc>
      </w:tr>
    </w:tbl>
    <w:bookmarkStart w:id="24" w:name="main-themes-description"/>
    <w:p>
      <w:pPr>
        <w:pStyle w:val="Heading3"/>
      </w:pPr>
      <w:r>
        <w:t xml:space="preserve">Main Themes Description</w:t>
      </w:r>
    </w:p>
    <w:p>
      <w:pPr>
        <w:pStyle w:val="FirstParagraph"/>
      </w:pPr>
      <w:r>
        <w:t xml:space="preserve">Here are the main themes discussed in the text: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Advancing EU-LAC Digital Cooperation:</w:t>
      </w:r>
    </w:p>
    <w:p>
      <w:pPr>
        <w:pStyle w:val="Compact"/>
        <w:numPr>
          <w:ilvl w:val="1"/>
          <w:numId w:val="1009"/>
        </w:numPr>
      </w:pPr>
      <w:r>
        <w:t xml:space="preserve">The EU-LAC Digital Alliance Days event (Cartagena, Nov 2023) aimed to identify concrete areas for digital cooperation between the EU and Latin America and the Caribbean (LAC).</w:t>
      </w:r>
    </w:p>
    <w:p>
      <w:pPr>
        <w:pStyle w:val="Compact"/>
        <w:numPr>
          <w:ilvl w:val="1"/>
          <w:numId w:val="1009"/>
        </w:numPr>
      </w:pPr>
      <w:r>
        <w:t xml:space="preserve">The event gathered over 150 senior representatives from government, civil society, academia, and the private sector.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Human-Centric Digital Transformation:</w:t>
      </w:r>
    </w:p>
    <w:p>
      <w:pPr>
        <w:pStyle w:val="Compact"/>
        <w:numPr>
          <w:ilvl w:val="1"/>
          <w:numId w:val="1010"/>
        </w:numPr>
      </w:pPr>
      <w:r>
        <w:t xml:space="preserve">A core guiding principle highlighted is that technology should serve people.</w:t>
      </w:r>
    </w:p>
    <w:p>
      <w:pPr>
        <w:pStyle w:val="Compact"/>
        <w:numPr>
          <w:ilvl w:val="1"/>
          <w:numId w:val="1010"/>
        </w:numPr>
      </w:pPr>
      <w:r>
        <w:t xml:space="preserve">Efforts are focused on fostering a human-centric digital transformation in both regions.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Key Thematic Areas and Joint Collaboration:</w:t>
      </w:r>
    </w:p>
    <w:p>
      <w:pPr>
        <w:pStyle w:val="Compact"/>
        <w:numPr>
          <w:ilvl w:val="1"/>
          <w:numId w:val="1011"/>
        </w:numPr>
      </w:pPr>
      <w:r>
        <w:t xml:space="preserve">High-level policy dialogues were held on Artificial Intelligence (AI), data governance, digital government, inclusive connectivity, and cybersecurity.</w:t>
      </w:r>
    </w:p>
    <w:p>
      <w:pPr>
        <w:pStyle w:val="Compact"/>
        <w:numPr>
          <w:ilvl w:val="1"/>
          <w:numId w:val="1011"/>
        </w:numPr>
      </w:pPr>
      <w:r>
        <w:t xml:space="preserve">Joint areas for collaboration were identified, including aligning cybersecurity frameworks, implementing inclusive/secure connectivity policies, developing interoperable digital identity, improving data flows, and adopting AI strategies.</w:t>
      </w:r>
    </w:p>
    <w:p>
      <w:pPr>
        <w:pStyle w:val="Compact"/>
        <w:numPr>
          <w:ilvl w:val="1"/>
          <w:numId w:val="1011"/>
        </w:numPr>
      </w:pPr>
      <w:r>
        <w:t xml:space="preserve">Co-leading partnerships between the EU, Member States, and LAC countries were determined for these thematic areas.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Political Commitment and Future Milestones:</w:t>
      </w:r>
    </w:p>
    <w:p>
      <w:pPr>
        <w:pStyle w:val="Compact"/>
        <w:numPr>
          <w:ilvl w:val="1"/>
          <w:numId w:val="1012"/>
        </w:numPr>
      </w:pPr>
      <w:r>
        <w:t xml:space="preserve">The event underlined the political determination of partners to collaborate closely on digital matters.</w:t>
      </w:r>
    </w:p>
    <w:p>
      <w:pPr>
        <w:pStyle w:val="Compact"/>
        <w:numPr>
          <w:ilvl w:val="1"/>
          <w:numId w:val="1012"/>
        </w:numPr>
      </w:pPr>
      <w:r>
        <w:t xml:space="preserve">It marked an important milestone towards the 2025 EU-CELAC Summit in Colombia, building on the 2023 Joint Declaration.</w:t>
      </w:r>
    </w:p>
    <w:p>
      <w:pPr>
        <w:pStyle w:val="Compact"/>
        <w:numPr>
          <w:ilvl w:val="1"/>
          <w:numId w:val="1012"/>
        </w:numPr>
      </w:pPr>
      <w:r>
        <w:t xml:space="preserve">Specific follow-up dialogues on the thematic areas are planned for 2024.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Strategic Context within EU Initiatives:</w:t>
      </w:r>
    </w:p>
    <w:p>
      <w:pPr>
        <w:pStyle w:val="Compact"/>
        <w:numPr>
          <w:ilvl w:val="1"/>
          <w:numId w:val="1013"/>
        </w:numPr>
      </w:pPr>
      <w:r>
        <w:t xml:space="preserve">The EU-LAC Digital Alliance is a critical component of the Global Gateway initiative in Latin America and the Caribbean.</w:t>
      </w:r>
    </w:p>
    <w:p>
      <w:pPr>
        <w:pStyle w:val="Compact"/>
        <w:numPr>
          <w:ilvl w:val="1"/>
          <w:numId w:val="1013"/>
        </w:numPr>
      </w:pPr>
      <w:r>
        <w:t xml:space="preserve">It is part of the EU’s offer to build trusted and sustainable connections with partner countries.</w:t>
      </w:r>
    </w:p>
    <w:p>
      <w:pPr>
        <w:pStyle w:val="Compact"/>
        <w:numPr>
          <w:ilvl w:val="1"/>
          <w:numId w:val="1013"/>
        </w:numPr>
      </w:pPr>
      <w:r>
        <w:t xml:space="preserve">The policy dialogue component is co-financed by the German Federal Ministry for Economic Cooperation and Development (BMZ).</w:t>
      </w:r>
    </w:p>
    <w:bookmarkEnd w:id="24"/>
    <w:bookmarkEnd w:id="25"/>
    <w:bookmarkStart w:id="26" w:name="practical-applications"/>
    <w:p>
      <w:pPr>
        <w:pStyle w:val="Heading2"/>
      </w:pPr>
      <w:r>
        <w:t xml:space="preserve">Practical Applications</w:t>
      </w:r>
    </w:p>
    <w:p>
      <w:pPr>
        <w:pStyle w:val="Compact"/>
        <w:numPr>
          <w:ilvl w:val="0"/>
          <w:numId w:val="1014"/>
        </w:numPr>
      </w:pPr>
    </w:p>
    <w:p>
      <w:pPr>
        <w:pStyle w:val="Compact"/>
        <w:numPr>
          <w:ilvl w:val="1"/>
          <w:numId w:val="1015"/>
        </w:numPr>
      </w:pPr>
      <w:r>
        <w:t xml:space="preserve">The policy dialogue component of the TEI (likely related to the EU-LAC Digital Alliance) is co-financed by the German Federal Ministry for Economic Cooperation and Development (BMZ).</w:t>
      </w:r>
    </w:p>
    <w:bookmarkEnd w:id="26"/>
    <w:bookmarkStart w:id="27" w:name="commitments"/>
    <w:p>
      <w:pPr>
        <w:pStyle w:val="Heading2"/>
      </w:pPr>
      <w:r>
        <w:t xml:space="preserve">Commitments</w:t>
      </w:r>
    </w:p>
    <w:p>
      <w:pPr>
        <w:pStyle w:val="Compact"/>
        <w:numPr>
          <w:ilvl w:val="0"/>
          <w:numId w:val="1016"/>
        </w:numPr>
      </w:pPr>
      <w:r>
        <w:t xml:space="preserve">No specific commitments identified.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2025-05-13T21:18:39Z</dcterms:created>
  <dcterms:modified xsi:type="dcterms:W3CDTF">2025-05-13T21:18:39Z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