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85/100 - Excellent</w:t>
      </w:r>
    </w:p>
    <w:bookmarkStart w:id="28" w:name="X3e0832074314f7b37826b1f0006a8a8528fb921"/>
    <w:p>
      <w:pPr>
        <w:pStyle w:val="Heading1"/>
      </w:pPr>
      <w:r>
        <w:t xml:space="preserve">“Key Insights and Progress from the High-Level Political Forum on Sustainable Development (2021-2023)”</w:t>
      </w:r>
    </w:p>
    <w:p>
      <w:pPr>
        <w:pStyle w:val="FirstParagraph"/>
      </w:pPr>
      <w:r>
        <w:rPr>
          <w:b/>
          <w:bCs/>
        </w:rPr>
        <w:t xml:space="preserve">Date</w:t>
      </w:r>
      <w:r>
        <w:t xml:space="preserve">: 2024-05-22</w:t>
      </w:r>
    </w:p>
    <w:p>
      <w:pPr>
        <w:pStyle w:val="BodyText"/>
      </w:pPr>
      <w:r>
        <w:rPr>
          <w:b/>
          <w:bCs/>
        </w:rPr>
        <w:t xml:space="preserve">Location</w:t>
      </w:r>
      <w:r>
        <w:t xml:space="preserve">: The principal location for the events and documents mentioned is the</w:t>
      </w:r>
      <w:r>
        <w:t xml:space="preserve"> </w:t>
      </w:r>
      <w:r>
        <w:rPr>
          <w:b/>
          <w:bCs/>
        </w:rPr>
        <w:t xml:space="preserve">United Nations Headquarters in New York, USA</w:t>
      </w:r>
      <w:r>
        <w:t xml:space="preserve">.</w:t>
      </w:r>
    </w:p>
    <w:bookmarkStart w:id="20" w:name="executive-summary"/>
    <w:p>
      <w:pPr>
        <w:pStyle w:val="Heading2"/>
      </w:pPr>
      <w:r>
        <w:t xml:space="preserve">Executive Summary</w:t>
      </w:r>
    </w:p>
    <w:p>
      <w:pPr>
        <w:pStyle w:val="FirstParagraph"/>
      </w:pPr>
      <w:r>
        <w:t xml:space="preserve">The High-Level Political Forum (HLPF) on Sustainable Development, convened under the Economic and Social Council, has faced significant challenges due to the COVID-19 pandemic, geopolitical tensions, and climate change, which have hindered progress towards the Sustainable Development Goals (SDGs). The 2023 session emphasized the need for urgent, transformative actions to accelerate recovery and implementation of the 2030 Agenda. Key discussions highlighted the importance of inclusive financing, multi-stakeholder partnerships, and local engagement to address vulnerabilities, particularly for Least Developed Countries (LDCs) and Small Island Developing States (SIDS). The forum underscored the necessity of integrating climate action, gender equality, and technological innovation into recovery strategies. With 38 countries presenting Voluntary National Reviews, the HLPF called for renewed global commitment and collaboration to ensure no one is left behind, particularly vulnerable populations. The upcoming SDG Summit is seen as a pivotal opportunity to reaffirm commitments and catalyze action towards achieving the SDGs by 2030.</w:t>
      </w:r>
    </w:p>
    <w:bookmarkEnd w:id="20"/>
    <w:bookmarkStart w:id="21" w:name="organizations"/>
    <w:p>
      <w:pPr>
        <w:pStyle w:val="Heading2"/>
      </w:pPr>
      <w:r>
        <w:t xml:space="preserve">Organizations</w:t>
      </w:r>
    </w:p>
    <w:p>
      <w:pPr>
        <w:pStyle w:val="FirstParagraph"/>
      </w:pPr>
      <w:r>
        <w:t xml:space="preserve">No organizations identified.</w:t>
      </w:r>
    </w:p>
    <w:bookmarkEnd w:id="21"/>
    <w:bookmarkStart w:id="22" w:name="geopolitical-entities"/>
    <w:p>
      <w:pPr>
        <w:pStyle w:val="Heading2"/>
      </w:pPr>
      <w:r>
        <w:t xml:space="preserve">Geopolitical Entities</w:t>
      </w:r>
    </w:p>
    <w:p>
      <w:pPr>
        <w:pStyle w:val="FirstParagraph"/>
      </w:pPr>
      <w:r>
        <w:t xml:space="preserve">No geopolitical entities identified.</w:t>
      </w:r>
    </w:p>
    <w:bookmarkEnd w:id="22"/>
    <w:bookmarkStart w:id="23" w:name="key-characteristics"/>
    <w:p>
      <w:pPr>
        <w:pStyle w:val="Heading2"/>
      </w:pPr>
      <w:r>
        <w:t xml:space="preserve">Key Characteristics</w:t>
      </w:r>
    </w:p>
    <w:p>
      <w:pPr>
        <w:pStyle w:val="Compact"/>
        <w:numPr>
          <w:ilvl w:val="0"/>
          <w:numId w:val="1001"/>
        </w:numPr>
      </w:pPr>
      <w:r>
        <w:t xml:space="preserve">The HLPF sessions focus on sustainable development, addressing impacts from COVID-19, climate change, and geopolitical crises.</w:t>
      </w:r>
    </w:p>
    <w:p>
      <w:pPr>
        <w:pStyle w:val="Compact"/>
        <w:numPr>
          <w:ilvl w:val="0"/>
          <w:numId w:val="1001"/>
        </w:numPr>
      </w:pPr>
      <w:r>
        <w:t xml:space="preserve">Emphasis on the integrated nature of the SDGs, with in-depth reviews of specific goals each year.</w:t>
      </w:r>
    </w:p>
    <w:p>
      <w:pPr>
        <w:pStyle w:val="Compact"/>
        <w:numPr>
          <w:ilvl w:val="0"/>
          <w:numId w:val="1001"/>
        </w:numPr>
      </w:pPr>
      <w:r>
        <w:t xml:space="preserve">Countries present Voluntary National Reviews (VNRs) to share progress and challenges in implementing the 2030 Agenda.</w:t>
      </w:r>
    </w:p>
    <w:p>
      <w:pPr>
        <w:pStyle w:val="Compact"/>
        <w:numPr>
          <w:ilvl w:val="0"/>
          <w:numId w:val="1001"/>
        </w:numPr>
      </w:pPr>
      <w:r>
        <w:t xml:space="preserve">Calls for increased financing, innovative partnerships, and reforms in international financial architecture to support vulnerable nations.</w:t>
      </w:r>
    </w:p>
    <w:p>
      <w:pPr>
        <w:pStyle w:val="Compact"/>
        <w:numPr>
          <w:ilvl w:val="0"/>
          <w:numId w:val="1001"/>
        </w:numPr>
      </w:pPr>
      <w:r>
        <w:t xml:space="preserve">Strong focus on inclusivity, emphasizing the need to engage marginalized groups, including women, youth, and indigenous peoples.</w:t>
      </w:r>
    </w:p>
    <w:p>
      <w:pPr>
        <w:pStyle w:val="Compact"/>
        <w:numPr>
          <w:ilvl w:val="0"/>
          <w:numId w:val="1001"/>
        </w:numPr>
      </w:pPr>
      <w:r>
        <w:t xml:space="preserve">The importance of data collection and technology transfer is highlighted to enhance SDG monitoring and implementation.</w:t>
      </w:r>
    </w:p>
    <w:bookmarkEnd w:id="23"/>
    <w:bookmarkStart w:id="24" w:name="actors-and-stakeholders"/>
    <w:p>
      <w:pPr>
        <w:pStyle w:val="Heading2"/>
      </w:pPr>
      <w:r>
        <w:t xml:space="preserve">Actors and Stakeholders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Error</w:t>
            </w:r>
          </w:p>
        </w:tc>
        <w:tc>
          <w:tcPr/>
          <w:p>
            <w:pPr>
              <w:pStyle w:val="Compact"/>
            </w:pPr>
            <w:r>
              <w:t xml:space="preserve">Processing failed</w:t>
            </w:r>
          </w:p>
        </w:tc>
      </w:tr>
    </w:tbl>
    <w:bookmarkEnd w:id="24"/>
    <w:bookmarkStart w:id="25"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Sub-category</w:t>
            </w:r>
          </w:p>
        </w:tc>
        <w:tc>
          <w:tcPr/>
          <w:p>
            <w:pPr>
              <w:pStyle w:val="Compact"/>
            </w:pPr>
            <w:r>
              <w:t xml:space="preserve">Theme</w:t>
            </w:r>
          </w:p>
        </w:tc>
      </w:tr>
      <w:tr>
        <w:tc>
          <w:tcPr/>
          <w:p>
            <w:pPr>
              <w:pStyle w:val="Compact"/>
            </w:pPr>
            <w:r>
              <w:t xml:space="preserve">Digital Policy</w:t>
            </w:r>
          </w:p>
        </w:tc>
        <w:tc>
          <w:tcPr/>
          <w:p>
            <w:pPr>
              <w:pStyle w:val="Compact"/>
            </w:pPr>
            <w:r>
              <w:t xml:space="preserve">1. Digital Transformation &amp; Strategy</w:t>
            </w:r>
          </w:p>
        </w:tc>
      </w:tr>
      <w:tr>
        <w:tc>
          <w:tcPr/>
          <w:p>
            <w:pPr>
              <w:pStyle w:val="Compact"/>
            </w:pPr>
            <w:r>
              <w:t xml:space="preserve">Gender Equality in Tech</w:t>
            </w:r>
          </w:p>
        </w:tc>
        <w:tc>
          <w:tcPr/>
          <w:p>
            <w:pPr>
              <w:pStyle w:val="Compact"/>
            </w:pPr>
            <w:r>
              <w:t xml:space="preserve">2. Inclusion &amp; Social Development</w:t>
            </w:r>
          </w:p>
        </w:tc>
      </w:tr>
      <w:tr>
        <w:tc>
          <w:tcPr/>
          <w:p>
            <w:pPr>
              <w:pStyle w:val="Compact"/>
            </w:pPr>
            <w:r>
              <w:t xml:space="preserve">Data Governance</w:t>
            </w:r>
          </w:p>
        </w:tc>
        <w:tc>
          <w:tcPr/>
          <w:p>
            <w:pPr>
              <w:pStyle w:val="Compact"/>
            </w:pPr>
            <w:r>
              <w:t xml:space="preserve">3. Data &amp; Governance</w:t>
            </w:r>
          </w:p>
        </w:tc>
      </w:tr>
      <w:tr>
        <w:tc>
          <w:tcPr/>
          <w:p>
            <w:pPr>
              <w:pStyle w:val="Compact"/>
            </w:pPr>
            <w:r>
              <w:t xml:space="preserve">Global Digital Cooperation</w:t>
            </w:r>
          </w:p>
        </w:tc>
        <w:tc>
          <w:tcPr/>
          <w:p>
            <w:pPr>
              <w:pStyle w:val="Compact"/>
            </w:pPr>
            <w:r>
              <w:t xml:space="preserve">4. Regional &amp; International Cooperation</w:t>
            </w:r>
          </w:p>
        </w:tc>
      </w:tr>
      <w:tr>
        <w:tc>
          <w:tcPr/>
          <w:p>
            <w:pPr>
              <w:pStyle w:val="Compact"/>
            </w:pPr>
            <w:r>
              <w:t xml:space="preserve">ICT Innovation</w:t>
            </w:r>
          </w:p>
        </w:tc>
        <w:tc>
          <w:tcPr/>
          <w:p>
            <w:pPr>
              <w:pStyle w:val="Compact"/>
            </w:pPr>
            <w:r>
              <w:t xml:space="preserve">5. Technology &amp; Innovation</w:t>
            </w:r>
          </w:p>
        </w:tc>
      </w:tr>
      <w:tr>
        <w:tc>
          <w:tcPr/>
          <w:p>
            <w:pPr>
              <w:pStyle w:val="Compact"/>
            </w:pPr>
            <w:r>
              <w:t xml:space="preserve">Sustainable Investment</w:t>
            </w:r>
          </w:p>
        </w:tc>
        <w:tc>
          <w:tcPr/>
          <w:p>
            <w:pPr>
              <w:pStyle w:val="Compact"/>
            </w:pPr>
            <w:r>
              <w:t xml:space="preserve">6. Economic Recovery &amp; Financing</w:t>
            </w:r>
          </w:p>
        </w:tc>
      </w:tr>
      <w:tr>
        <w:tc>
          <w:tcPr/>
          <w:p>
            <w:pPr>
              <w:pStyle w:val="Compact"/>
            </w:pPr>
            <w:r>
              <w:t xml:space="preserve">Climate Action</w:t>
            </w:r>
          </w:p>
        </w:tc>
        <w:tc>
          <w:tcPr/>
          <w:p>
            <w:pPr>
              <w:pStyle w:val="Compact"/>
            </w:pPr>
            <w:r>
              <w:t xml:space="preserve">7. Environmental Sustainability</w:t>
            </w:r>
          </w:p>
        </w:tc>
      </w:tr>
      <w:tr>
        <w:tc>
          <w:tcPr/>
          <w:p>
            <w:pPr>
              <w:pStyle w:val="Compact"/>
            </w:pPr>
            <w:r>
              <w:t xml:space="preserve">Digital Inclusion</w:t>
            </w:r>
          </w:p>
        </w:tc>
        <w:tc>
          <w:tcPr/>
          <w:p>
            <w:pPr>
              <w:pStyle w:val="Compact"/>
            </w:pPr>
            <w:r>
              <w:t xml:space="preserve">8. Social Cohesion</w:t>
            </w:r>
          </w:p>
        </w:tc>
      </w:tr>
    </w:tbl>
    <w:bookmarkEnd w:id="25"/>
    <w:bookmarkStart w:id="26" w:name="practical-applications"/>
    <w:p>
      <w:pPr>
        <w:pStyle w:val="Heading2"/>
      </w:pPr>
      <w:r>
        <w:t xml:space="preserve">Practical Applications</w:t>
      </w:r>
    </w:p>
    <w:p>
      <w:pPr>
        <w:pStyle w:val="FirstParagraph"/>
      </w:pPr>
      <w:r>
        <w:t xml:space="preserve">No practical applications identified.</w:t>
      </w:r>
    </w:p>
    <w:bookmarkEnd w:id="26"/>
    <w:bookmarkStart w:id="27" w:name="future-commitments"/>
    <w:p>
      <w:pPr>
        <w:pStyle w:val="Heading2"/>
      </w:pPr>
      <w:r>
        <w:t xml:space="preserve">Future Commitments</w:t>
      </w:r>
    </w:p>
    <w:p>
      <w:pPr>
        <w:pStyle w:val="Compact"/>
        <w:numPr>
          <w:ilvl w:val="0"/>
          <w:numId w:val="1002"/>
        </w:numPr>
      </w:pPr>
      <w:r>
        <w:t xml:space="preserve">Countries called for an SDG Stimulus of $500 billion per year needed for investments in sustainable development and climate action by 2025.</w:t>
      </w:r>
    </w:p>
    <w:p>
      <w:pPr>
        <w:pStyle w:val="Compact"/>
        <w:numPr>
          <w:ilvl w:val="0"/>
          <w:numId w:val="1002"/>
        </w:numPr>
      </w:pPr>
      <w:r>
        <w:t xml:space="preserve">The Heads of WHO, IMF, and WTO called for a $50 billion upfront investment in vaccinating at least 60% of the global population by the middle of 2022.</w:t>
      </w:r>
    </w:p>
    <w:p>
      <w:pPr>
        <w:pStyle w:val="Compact"/>
        <w:numPr>
          <w:ilvl w:val="0"/>
          <w:numId w:val="1002"/>
        </w:numPr>
      </w:pPr>
      <w:r>
        <w:t xml:space="preserve">The 10-Year Framework of Programmes reported an increase of 7.7% in policy instruments to accelerate the transition to sustainable consumption and production patterns from 2022 to 2023.</w:t>
      </w:r>
    </w:p>
    <w:p>
      <w:pPr>
        <w:pStyle w:val="Compact"/>
        <w:numPr>
          <w:ilvl w:val="0"/>
          <w:numId w:val="1002"/>
        </w:numPr>
      </w:pPr>
      <w:r>
        <w:t xml:space="preserve">The 10-Year Framework aims to reduce land needed for food by 5% by 2060 compared to 2020 levels through dietary changes and policies that reduce food loss and waste.</w:t>
      </w:r>
    </w:p>
    <w:p>
      <w:pPr>
        <w:pStyle w:val="Compact"/>
        <w:numPr>
          <w:ilvl w:val="0"/>
          <w:numId w:val="1002"/>
        </w:numPr>
      </w:pPr>
      <w:r>
        <w:t xml:space="preserve">The 2024 One Planet Network Forum is scheduled for September 2024, focusing on reducing inequalities and achieving just transitions for all through sustainable consumption and production.</w:t>
      </w:r>
    </w:p>
    <w:p>
      <w:pPr>
        <w:pStyle w:val="Compact"/>
        <w:numPr>
          <w:ilvl w:val="0"/>
          <w:numId w:val="1002"/>
        </w:numPr>
      </w:pPr>
      <w:r>
        <w:t xml:space="preserve">The 10-Year Framework secretariat plans to pilot a standardized circularity assessment framework for the construction sector in 2024.</w:t>
      </w:r>
    </w:p>
    <w:p>
      <w:pPr>
        <w:pStyle w:val="Compact"/>
        <w:numPr>
          <w:ilvl w:val="0"/>
          <w:numId w:val="1002"/>
        </w:numPr>
      </w:pPr>
      <w:r>
        <w:t xml:space="preserve">Countries emphasized the need for an increase in flows of public and private finance to bridge the financing gap and deliver on the promise of the SDGs.</w:t>
      </w:r>
    </w:p>
    <w:p>
      <w:pPr>
        <w:pStyle w:val="Compact"/>
        <w:numPr>
          <w:ilvl w:val="0"/>
          <w:numId w:val="1002"/>
        </w:numPr>
      </w:pPr>
      <w:r>
        <w:t xml:space="preserve">Countries called for a new SDR issuance to inject liquidity into developing countries to aid recovery from the crises and advance progress towards the achievement of the SDGs.</w:t>
      </w:r>
    </w:p>
    <w:p>
      <w:pPr>
        <w:pStyle w:val="Compact"/>
        <w:numPr>
          <w:ilvl w:val="0"/>
          <w:numId w:val="1002"/>
        </w:numPr>
      </w:pPr>
      <w:r>
        <w:t xml:space="preserve">The 2023 SDG Summit is expected to result in a succinct action plan aimed at accelerating the implementation of the SDGs.</w:t>
      </w:r>
    </w:p>
    <w:p>
      <w:pPr>
        <w:pStyle w:val="Compact"/>
        <w:numPr>
          <w:ilvl w:val="0"/>
          <w:numId w:val="1002"/>
        </w:numPr>
      </w:pPr>
      <w:r>
        <w:t xml:space="preserve">The 2022 HLPF called for urgent action to implement commitments on climate change, including the Paris Agreement, to keep alive the prospects of limiting global warming to 1.5°C above pre-industrial levels.</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2025-05-09T20:01:56Z</dcterms:created>
  <dcterms:modified xsi:type="dcterms:W3CDTF">2025-05-09T20:01:56Z</dcterms:modified>
</cp:coreProperties>
</file>

<file path=docProps/custom.xml><?xml version="1.0" encoding="utf-8"?>
<Properties xmlns="http://schemas.openxmlformats.org/officeDocument/2006/custom-properties" xmlns:vt="http://schemas.openxmlformats.org/officeDocument/2006/docPropsVTypes"/>
</file>