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rlito" w:hAnsi="Carlito"/>
          <w:b/>
          <w:color w:val="5A6973"/>
          <w:sz w:val="26"/>
        </w:rPr>
        <w:t>ARQUITECTURA Y ALCANCE FUNCIONAL</w:t>
      </w:r>
    </w:p>
    <w:p>
      <w:pPr>
        <w:jc w:val="center"/>
      </w:pPr>
      <w:r>
        <w:rPr>
          <w:rFonts w:ascii="Carlito" w:hAnsi="Carlito"/>
          <w:b/>
          <w:color w:val="294C60"/>
          <w:sz w:val="62"/>
        </w:rPr>
        <w:t>Sistema de Solicitud y</w:t>
        <w:br/>
        <w:t>Gestión de Licencias</w:t>
      </w:r>
    </w:p>
    <w:p>
      <w:pPr>
        <w:spacing w:before="200"/>
        <w:jc w:val="center"/>
      </w:pPr>
      <w:r>
        <w:rPr>
          <w:rFonts w:ascii="Carlito" w:hAnsi="Carlito"/>
          <w:color w:val="547487"/>
          <w:sz w:val="28"/>
        </w:rPr>
        <w:t>Aplicación web independiente integrada con Microsoft 365</w:t>
      </w:r>
    </w:p>
    <w:p>
      <w:pPr>
        <w:spacing w:before="1000"/>
        <w:jc w:val="center"/>
      </w:pPr>
      <w:r>
        <w:rPr>
          <w:rFonts w:ascii="Carlito" w:hAnsi="Carlito"/>
          <w:color w:val="233440"/>
          <w:sz w:val="21"/>
        </w:rPr>
        <w:t>Documento de arquitectura, alcance, casos de uso, permisos, modelo de datos, workflows y pantallas del MVP</w:t>
      </w:r>
    </w:p>
    <w:tbl>
      <w:tblPr>
        <w:tblW w:type="auto" w:w="0"/>
        <w:jc w:val="center"/>
        <w:tblLayout w:type="fixed"/>
        <w:tblLook w:firstColumn="1" w:firstRow="1" w:lastColumn="0" w:lastRow="0" w:noHBand="0" w:noVBand="1" w:val="04A0"/>
      </w:tblPr>
      <w:tblGrid>
        <w:gridCol w:w="5083"/>
        <w:gridCol w:w="5083"/>
      </w:tblGrid>
      <w:tr>
        <w:tc>
          <w:tcPr>
            <w:tcW w:type="dxa" w:w="1700"/>
            <w:shd w:fill="EAF1F5"/>
            <w:tcMar>
              <w:top w:w="120" w:type="dxa"/>
              <w:start w:w="120" w:type="dxa"/>
              <w:bottom w:w="120" w:type="dxa"/>
              <w:end w:w="120" w:type="dxa"/>
            </w:tcMar>
          </w:tcPr>
          <w:p>
            <w:r>
              <w:rPr>
                <w:rFonts w:ascii="Carlito" w:hAnsi="Carlito"/>
                <w:b/>
                <w:color w:val="294C60"/>
                <w:sz w:val="18"/>
              </w:rPr>
              <w:t>Código</w:t>
            </w:r>
          </w:p>
        </w:tc>
        <w:tc>
          <w:tcPr>
            <w:tcW w:type="dxa" w:w="5000"/>
            <w:tcMar>
              <w:top w:w="120" w:type="dxa"/>
              <w:start w:w="120" w:type="dxa"/>
              <w:bottom w:w="120" w:type="dxa"/>
              <w:end w:w="120" w:type="dxa"/>
            </w:tcMar>
          </w:tcPr>
          <w:p>
            <w:r>
              <w:rPr>
                <w:rFonts w:ascii="Carlito" w:hAnsi="Carlito"/>
                <w:color w:val="233440"/>
                <w:sz w:val="18"/>
              </w:rPr>
              <w:t>ARQ-LIC-001</w:t>
            </w:r>
          </w:p>
        </w:tc>
      </w:tr>
      <w:tr>
        <w:tc>
          <w:tcPr>
            <w:tcW w:type="dxa" w:w="1700"/>
            <w:shd w:fill="EAF1F5"/>
            <w:tcMar>
              <w:top w:w="120" w:type="dxa"/>
              <w:start w:w="120" w:type="dxa"/>
              <w:bottom w:w="120" w:type="dxa"/>
              <w:end w:w="120" w:type="dxa"/>
            </w:tcMar>
          </w:tcPr>
          <w:p>
            <w:r>
              <w:rPr>
                <w:rFonts w:ascii="Carlito" w:hAnsi="Carlito"/>
                <w:b/>
                <w:color w:val="294C60"/>
                <w:sz w:val="18"/>
              </w:rPr>
              <w:t>Versión</w:t>
            </w:r>
          </w:p>
        </w:tc>
        <w:tc>
          <w:tcPr>
            <w:tcW w:type="dxa" w:w="5000"/>
            <w:tcMar>
              <w:top w:w="120" w:type="dxa"/>
              <w:start w:w="120" w:type="dxa"/>
              <w:bottom w:w="120" w:type="dxa"/>
              <w:end w:w="120" w:type="dxa"/>
            </w:tcMar>
          </w:tcPr>
          <w:p>
            <w:r>
              <w:rPr>
                <w:rFonts w:ascii="Carlito" w:hAnsi="Carlito"/>
                <w:color w:val="233440"/>
                <w:sz w:val="18"/>
              </w:rPr>
              <w:t>1.0</w:t>
            </w:r>
          </w:p>
        </w:tc>
      </w:tr>
      <w:tr>
        <w:tc>
          <w:tcPr>
            <w:tcW w:type="dxa" w:w="1700"/>
            <w:shd w:fill="EAF1F5"/>
            <w:tcMar>
              <w:top w:w="120" w:type="dxa"/>
              <w:start w:w="120" w:type="dxa"/>
              <w:bottom w:w="120" w:type="dxa"/>
              <w:end w:w="120" w:type="dxa"/>
            </w:tcMar>
          </w:tcPr>
          <w:p>
            <w:r>
              <w:rPr>
                <w:rFonts w:ascii="Carlito" w:hAnsi="Carlito"/>
                <w:b/>
                <w:color w:val="294C60"/>
                <w:sz w:val="18"/>
              </w:rPr>
              <w:t>Fecha</w:t>
            </w:r>
          </w:p>
        </w:tc>
        <w:tc>
          <w:tcPr>
            <w:tcW w:type="dxa" w:w="5000"/>
            <w:tcMar>
              <w:top w:w="120" w:type="dxa"/>
              <w:start w:w="120" w:type="dxa"/>
              <w:bottom w:w="120" w:type="dxa"/>
              <w:end w:w="120" w:type="dxa"/>
            </w:tcMar>
          </w:tcPr>
          <w:p>
            <w:r>
              <w:rPr>
                <w:rFonts w:ascii="Carlito" w:hAnsi="Carlito"/>
                <w:color w:val="233440"/>
                <w:sz w:val="18"/>
              </w:rPr>
              <w:t>8 de septiembre de 2026</w:t>
            </w:r>
          </w:p>
        </w:tc>
      </w:tr>
      <w:tr>
        <w:tc>
          <w:tcPr>
            <w:tcW w:type="dxa" w:w="1700"/>
            <w:shd w:fill="EAF1F5"/>
            <w:tcMar>
              <w:top w:w="120" w:type="dxa"/>
              <w:start w:w="120" w:type="dxa"/>
              <w:bottom w:w="120" w:type="dxa"/>
              <w:end w:w="120" w:type="dxa"/>
            </w:tcMar>
          </w:tcPr>
          <w:p>
            <w:r>
              <w:rPr>
                <w:rFonts w:ascii="Carlito" w:hAnsi="Carlito"/>
                <w:b/>
                <w:color w:val="294C60"/>
                <w:sz w:val="18"/>
              </w:rPr>
              <w:t>Estado</w:t>
            </w:r>
          </w:p>
        </w:tc>
        <w:tc>
          <w:tcPr>
            <w:tcW w:type="dxa" w:w="5000"/>
            <w:tcMar>
              <w:top w:w="120" w:type="dxa"/>
              <w:start w:w="120" w:type="dxa"/>
              <w:bottom w:w="120" w:type="dxa"/>
              <w:end w:w="120" w:type="dxa"/>
            </w:tcMar>
          </w:tcPr>
          <w:p>
            <w:r>
              <w:rPr>
                <w:rFonts w:ascii="Carlito" w:hAnsi="Carlito"/>
                <w:color w:val="233440"/>
                <w:sz w:val="18"/>
              </w:rPr>
              <w:t>Propuesta para validación funcional y técnica</w:t>
            </w:r>
          </w:p>
        </w:tc>
      </w:tr>
      <w:tr>
        <w:tc>
          <w:tcPr>
            <w:tcW w:type="dxa" w:w="1700"/>
            <w:shd w:fill="EAF1F5"/>
            <w:tcMar>
              <w:top w:w="120" w:type="dxa"/>
              <w:start w:w="120" w:type="dxa"/>
              <w:bottom w:w="120" w:type="dxa"/>
              <w:end w:w="120" w:type="dxa"/>
            </w:tcMar>
          </w:tcPr>
          <w:p>
            <w:r>
              <w:rPr>
                <w:rFonts w:ascii="Carlito" w:hAnsi="Carlito"/>
                <w:b/>
                <w:color w:val="294C60"/>
                <w:sz w:val="18"/>
              </w:rPr>
              <w:t>Fuente actual</w:t>
            </w:r>
          </w:p>
        </w:tc>
        <w:tc>
          <w:tcPr>
            <w:tcW w:type="dxa" w:w="5000"/>
            <w:tcMar>
              <w:top w:w="120" w:type="dxa"/>
              <w:start w:w="120" w:type="dxa"/>
              <w:bottom w:w="120" w:type="dxa"/>
              <w:end w:w="120" w:type="dxa"/>
            </w:tcMar>
          </w:tcPr>
          <w:p>
            <w:r>
              <w:rPr>
                <w:rFonts w:ascii="Carlito" w:hAnsi="Carlito"/>
                <w:color w:val="233440"/>
                <w:sz w:val="18"/>
              </w:rPr>
              <w:t>Listas de SharePoint</w:t>
            </w:r>
          </w:p>
        </w:tc>
      </w:tr>
    </w:tbl>
    <w:p>
      <w:r>
        <w:br w:type="page"/>
      </w:r>
    </w:p>
    <w:p>
      <w:pPr>
        <w:pStyle w:val="Heading1"/>
      </w:pPr>
      <w:r>
        <w:t>Control del documento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00"/>
            <w:shd w:fill="294C60"/>
            <w:tcMar>
              <w:top w:w="90" w:type="dxa"/>
              <w:start w:w="90" w:type="dxa"/>
              <w:bottom w:w="90" w:type="dxa"/>
              <w:end w:w="90" w:type="dxa"/>
            </w:tcMar>
            <w:vAlign w:val="center"/>
          </w:tcPr>
          <w:p>
            <w:pPr>
              <w:jc w:val="left"/>
            </w:pPr>
            <w:r>
              <w:rPr>
                <w:rFonts w:ascii="Carlito" w:hAnsi="Carlito"/>
                <w:b/>
                <w:color w:val="FFFFFF"/>
                <w:sz w:val="17"/>
              </w:rPr>
              <w:t>Elemento</w:t>
            </w:r>
          </w:p>
        </w:tc>
        <w:tc>
          <w:tcPr>
            <w:tcW w:type="dxa" w:w="5100"/>
            <w:shd w:fill="294C60"/>
            <w:tcMar>
              <w:top w:w="90" w:type="dxa"/>
              <w:start w:w="90" w:type="dxa"/>
              <w:bottom w:w="90" w:type="dxa"/>
              <w:end w:w="90" w:type="dxa"/>
            </w:tcMar>
            <w:vAlign w:val="center"/>
          </w:tcPr>
          <w:p>
            <w:pPr>
              <w:jc w:val="left"/>
            </w:pPr>
            <w:r>
              <w:rPr>
                <w:rFonts w:ascii="Carlito" w:hAnsi="Carlito"/>
                <w:b/>
                <w:color w:val="FFFFFF"/>
                <w:sz w:val="17"/>
              </w:rPr>
              <w:t>Definición</w:t>
            </w:r>
          </w:p>
        </w:tc>
      </w:tr>
      <w:tr>
        <w:trPr>
          <w:cantSplit/>
        </w:trPr>
        <w:tc>
          <w:tcPr>
            <w:tcW w:type="dxa" w:w="1700"/>
            <w:tcMar>
              <w:top w:w="90" w:type="dxa"/>
              <w:start w:w="90" w:type="dxa"/>
              <w:bottom w:w="90" w:type="dxa"/>
              <w:end w:w="90" w:type="dxa"/>
            </w:tcMar>
            <w:vAlign w:val="top"/>
          </w:tcPr>
          <w:p>
            <w:pPr>
              <w:spacing w:after="0"/>
            </w:pPr>
            <w:r>
              <w:rPr>
                <w:rFonts w:ascii="Carlito" w:hAnsi="Carlito"/>
                <w:color w:val="233440"/>
                <w:sz w:val="17"/>
              </w:rPr>
              <w:t>Propósito</w:t>
            </w:r>
          </w:p>
        </w:tc>
        <w:tc>
          <w:tcPr>
            <w:tcW w:type="dxa" w:w="5100"/>
            <w:tcMar>
              <w:top w:w="90" w:type="dxa"/>
              <w:start w:w="90" w:type="dxa"/>
              <w:bottom w:w="90" w:type="dxa"/>
              <w:end w:w="90" w:type="dxa"/>
            </w:tcMar>
            <w:vAlign w:val="top"/>
          </w:tcPr>
          <w:p>
            <w:pPr>
              <w:spacing w:after="0"/>
            </w:pPr>
            <w:r>
              <w:rPr>
                <w:rFonts w:ascii="Carlito" w:hAnsi="Carlito"/>
                <w:color w:val="233440"/>
                <w:sz w:val="17"/>
              </w:rPr>
              <w:t>Definir el alcance funcional y la arquitectura propuesta para reemplazar/modernizar la gestión actual basada en listas de SharePoint.</w:t>
            </w:r>
          </w:p>
        </w:tc>
      </w:tr>
      <w:tr>
        <w:trPr>
          <w:cantSplit/>
        </w:trPr>
        <w:tc>
          <w:tcPr>
            <w:tcW w:type="dxa" w:w="1700"/>
            <w:shd w:fill="FAFBFC"/>
            <w:tcMar>
              <w:top w:w="90" w:type="dxa"/>
              <w:start w:w="90" w:type="dxa"/>
              <w:bottom w:w="90" w:type="dxa"/>
              <w:end w:w="90" w:type="dxa"/>
            </w:tcMar>
            <w:vAlign w:val="top"/>
          </w:tcPr>
          <w:p>
            <w:pPr>
              <w:spacing w:after="0"/>
            </w:pPr>
            <w:r>
              <w:rPr>
                <w:rFonts w:ascii="Carlito" w:hAnsi="Carlito"/>
                <w:color w:val="233440"/>
                <w:sz w:val="17"/>
              </w:rPr>
              <w:t>Audiencia</w:t>
            </w:r>
          </w:p>
        </w:tc>
        <w:tc>
          <w:tcPr>
            <w:tcW w:type="dxa" w:w="5100"/>
            <w:shd w:fill="FAFBFC"/>
            <w:tcMar>
              <w:top w:w="90" w:type="dxa"/>
              <w:start w:w="90" w:type="dxa"/>
              <w:bottom w:w="90" w:type="dxa"/>
              <w:end w:w="90" w:type="dxa"/>
            </w:tcMar>
            <w:vAlign w:val="top"/>
          </w:tcPr>
          <w:p>
            <w:pPr>
              <w:spacing w:after="0"/>
            </w:pPr>
            <w:r>
              <w:rPr>
                <w:rFonts w:ascii="Carlito" w:hAnsi="Carlito"/>
                <w:color w:val="233440"/>
                <w:sz w:val="17"/>
              </w:rPr>
              <w:t>Responsables de TI, RRHH, supervisores/encargados, seguridad, desarrollo y responsables de infraestructura.</w:t>
            </w:r>
          </w:p>
        </w:tc>
      </w:tr>
      <w:tr>
        <w:trPr>
          <w:cantSplit/>
        </w:trPr>
        <w:tc>
          <w:tcPr>
            <w:tcW w:type="dxa" w:w="1700"/>
            <w:tcMar>
              <w:top w:w="90" w:type="dxa"/>
              <w:start w:w="90" w:type="dxa"/>
              <w:bottom w:w="90" w:type="dxa"/>
              <w:end w:w="90" w:type="dxa"/>
            </w:tcMar>
            <w:vAlign w:val="top"/>
          </w:tcPr>
          <w:p>
            <w:pPr>
              <w:spacing w:after="0"/>
            </w:pPr>
            <w:r>
              <w:rPr>
                <w:rFonts w:ascii="Carlito" w:hAnsi="Carlito"/>
                <w:color w:val="233440"/>
                <w:sz w:val="17"/>
              </w:rPr>
              <w:t>Decisión principal</w:t>
            </w:r>
          </w:p>
        </w:tc>
        <w:tc>
          <w:tcPr>
            <w:tcW w:type="dxa" w:w="5100"/>
            <w:tcMar>
              <w:top w:w="90" w:type="dxa"/>
              <w:start w:w="90" w:type="dxa"/>
              <w:bottom w:w="90" w:type="dxa"/>
              <w:end w:w="90" w:type="dxa"/>
            </w:tcMar>
            <w:vAlign w:val="top"/>
          </w:tcPr>
          <w:p>
            <w:pPr>
              <w:spacing w:after="0"/>
            </w:pPr>
            <w:r>
              <w:rPr>
                <w:rFonts w:ascii="Carlito" w:hAnsi="Carlito"/>
                <w:color w:val="233440"/>
                <w:sz w:val="17"/>
              </w:rPr>
              <w:t>La nueva solución será una aplicación web propia. Microsoft se utilizará como proveedor de identidad e integración, no como plataforma de interfaz o base de datos principal.</w:t>
            </w:r>
          </w:p>
        </w:tc>
      </w:tr>
      <w:tr>
        <w:trPr>
          <w:cantSplit/>
        </w:trPr>
        <w:tc>
          <w:tcPr>
            <w:tcW w:type="dxa" w:w="1700"/>
            <w:shd w:fill="FAFBFC"/>
            <w:tcMar>
              <w:top w:w="90" w:type="dxa"/>
              <w:start w:w="90" w:type="dxa"/>
              <w:bottom w:w="90" w:type="dxa"/>
              <w:end w:w="90" w:type="dxa"/>
            </w:tcMar>
            <w:vAlign w:val="top"/>
          </w:tcPr>
          <w:p>
            <w:pPr>
              <w:spacing w:after="0"/>
            </w:pPr>
            <w:r>
              <w:rPr>
                <w:rFonts w:ascii="Carlito" w:hAnsi="Carlito"/>
                <w:color w:val="233440"/>
                <w:sz w:val="17"/>
              </w:rPr>
              <w:t>Fuente de verdad futura</w:t>
            </w:r>
          </w:p>
        </w:tc>
        <w:tc>
          <w:tcPr>
            <w:tcW w:type="dxa" w:w="5100"/>
            <w:shd w:fill="FAFBFC"/>
            <w:tcMar>
              <w:top w:w="90" w:type="dxa"/>
              <w:start w:w="90" w:type="dxa"/>
              <w:bottom w:w="90" w:type="dxa"/>
              <w:end w:w="90" w:type="dxa"/>
            </w:tcMar>
            <w:vAlign w:val="top"/>
          </w:tcPr>
          <w:p>
            <w:pPr>
              <w:spacing w:after="0"/>
            </w:pPr>
            <w:r>
              <w:rPr>
                <w:rFonts w:ascii="Carlito" w:hAnsi="Carlito"/>
                <w:color w:val="233440"/>
                <w:sz w:val="17"/>
              </w:rPr>
              <w:t>PostgreSQL y almacenamiento privado de comprobantes. SharePoint quedará como fuente de migración/histórico durante la transición.</w:t>
            </w:r>
          </w:p>
        </w:tc>
      </w:tr>
      <w:tr>
        <w:trPr>
          <w:cantSplit/>
        </w:trPr>
        <w:tc>
          <w:tcPr>
            <w:tcW w:type="dxa" w:w="1700"/>
            <w:tcMar>
              <w:top w:w="90" w:type="dxa"/>
              <w:start w:w="90" w:type="dxa"/>
              <w:bottom w:w="90" w:type="dxa"/>
              <w:end w:w="90" w:type="dxa"/>
            </w:tcMar>
            <w:vAlign w:val="top"/>
          </w:tcPr>
          <w:p>
            <w:pPr>
              <w:spacing w:after="0"/>
            </w:pPr>
            <w:r>
              <w:rPr>
                <w:rFonts w:ascii="Carlito" w:hAnsi="Carlito"/>
                <w:color w:val="233440"/>
                <w:sz w:val="17"/>
              </w:rPr>
              <w:t>Criterio de diseño</w:t>
            </w:r>
          </w:p>
        </w:tc>
        <w:tc>
          <w:tcPr>
            <w:tcW w:type="dxa" w:w="5100"/>
            <w:tcMar>
              <w:top w:w="90" w:type="dxa"/>
              <w:start w:w="90" w:type="dxa"/>
              <w:bottom w:w="90" w:type="dxa"/>
              <w:end w:w="90" w:type="dxa"/>
            </w:tcMar>
            <w:vAlign w:val="top"/>
          </w:tcPr>
          <w:p>
            <w:pPr>
              <w:spacing w:after="0"/>
            </w:pPr>
            <w:r>
              <w:rPr>
                <w:rFonts w:ascii="Carlito" w:hAnsi="Carlito"/>
                <w:color w:val="233440"/>
                <w:sz w:val="17"/>
              </w:rPr>
              <w:t>Reglas de licencia configurables y versionadas, permisos por rol + alcance organizacional, auditoría completa y experiencia responsive/PWA.</w:t>
            </w:r>
          </w:p>
        </w:tc>
      </w:tr>
    </w:tbl>
    <w:p>
      <w:pPr>
        <w:spacing w:after="0"/>
      </w:pPr>
    </w:p>
    <w:p>
      <w:pPr>
        <w:pStyle w:val="Heading1"/>
      </w:pPr>
      <w:r>
        <w:t>Contenido</w:t>
      </w:r>
    </w:p>
    <w:p>
      <w:pPr>
        <w:spacing w:after="40"/>
      </w:pPr>
      <w:r>
        <w:rPr>
          <w:rFonts w:ascii="Carlito" w:hAnsi="Carlito"/>
          <w:color w:val="233440"/>
          <w:sz w:val="19"/>
        </w:rPr>
        <w:t>1. Resumen ejecutivo</w:t>
      </w:r>
    </w:p>
    <w:p>
      <w:pPr>
        <w:spacing w:after="40"/>
      </w:pPr>
      <w:r>
        <w:rPr>
          <w:rFonts w:ascii="Carlito" w:hAnsi="Carlito"/>
          <w:color w:val="233440"/>
          <w:sz w:val="19"/>
        </w:rPr>
        <w:t>2. Contexto, objetivos y alcance</w:t>
      </w:r>
    </w:p>
    <w:p>
      <w:pPr>
        <w:spacing w:after="40"/>
      </w:pPr>
      <w:r>
        <w:rPr>
          <w:rFonts w:ascii="Carlito" w:hAnsi="Carlito"/>
          <w:color w:val="233440"/>
          <w:sz w:val="19"/>
        </w:rPr>
        <w:t>3. Principios y decisiones de arquitectura</w:t>
      </w:r>
    </w:p>
    <w:p>
      <w:pPr>
        <w:spacing w:after="40"/>
      </w:pPr>
      <w:r>
        <w:rPr>
          <w:rFonts w:ascii="Carlito" w:hAnsi="Carlito"/>
          <w:color w:val="233440"/>
          <w:sz w:val="19"/>
        </w:rPr>
        <w:t>4. Modelo organizacional, roles y permisos</w:t>
      </w:r>
    </w:p>
    <w:p>
      <w:pPr>
        <w:spacing w:after="40"/>
      </w:pPr>
      <w:r>
        <w:rPr>
          <w:rFonts w:ascii="Carlito" w:hAnsi="Carlito"/>
          <w:color w:val="233440"/>
          <w:sz w:val="19"/>
        </w:rPr>
        <w:t>5. Reglas de negocio configurables</w:t>
      </w:r>
    </w:p>
    <w:p>
      <w:pPr>
        <w:spacing w:after="40"/>
      </w:pPr>
      <w:r>
        <w:rPr>
          <w:rFonts w:ascii="Carlito" w:hAnsi="Carlito"/>
          <w:color w:val="233440"/>
          <w:sz w:val="19"/>
        </w:rPr>
        <w:t>6. Casos de uso</w:t>
      </w:r>
    </w:p>
    <w:p>
      <w:pPr>
        <w:spacing w:after="40"/>
      </w:pPr>
      <w:r>
        <w:rPr>
          <w:rFonts w:ascii="Carlito" w:hAnsi="Carlito"/>
          <w:color w:val="233440"/>
          <w:sz w:val="19"/>
        </w:rPr>
        <w:t>7. Workflows y estados</w:t>
      </w:r>
    </w:p>
    <w:p>
      <w:pPr>
        <w:spacing w:after="40"/>
      </w:pPr>
      <w:r>
        <w:rPr>
          <w:rFonts w:ascii="Carlito" w:hAnsi="Carlito"/>
          <w:color w:val="233440"/>
          <w:sz w:val="19"/>
        </w:rPr>
        <w:t>8. Modelo de datos</w:t>
      </w:r>
    </w:p>
    <w:p>
      <w:pPr>
        <w:spacing w:after="40"/>
      </w:pPr>
      <w:r>
        <w:rPr>
          <w:rFonts w:ascii="Carlito" w:hAnsi="Carlito"/>
          <w:color w:val="233440"/>
          <w:sz w:val="19"/>
        </w:rPr>
        <w:t>9. Arquitectura lógica y stack recomendado</w:t>
      </w:r>
    </w:p>
    <w:p>
      <w:pPr>
        <w:spacing w:after="40"/>
      </w:pPr>
      <w:r>
        <w:rPr>
          <w:rFonts w:ascii="Carlito" w:hAnsi="Carlito"/>
          <w:color w:val="233440"/>
          <w:sz w:val="19"/>
        </w:rPr>
        <w:t>10. Integración con Microsoft 365 y SharePoint</w:t>
      </w:r>
    </w:p>
    <w:p>
      <w:pPr>
        <w:spacing w:after="40"/>
      </w:pPr>
      <w:r>
        <w:rPr>
          <w:rFonts w:ascii="Carlito" w:hAnsi="Carlito"/>
          <w:color w:val="233440"/>
          <w:sz w:val="19"/>
        </w:rPr>
        <w:t>11. Estrategia de migración</w:t>
      </w:r>
    </w:p>
    <w:p>
      <w:pPr>
        <w:spacing w:after="40"/>
      </w:pPr>
      <w:r>
        <w:rPr>
          <w:rFonts w:ascii="Carlito" w:hAnsi="Carlito"/>
          <w:color w:val="233440"/>
          <w:sz w:val="19"/>
        </w:rPr>
        <w:t>12. Seguridad, privacidad y auditoría</w:t>
      </w:r>
    </w:p>
    <w:p>
      <w:pPr>
        <w:spacing w:after="40"/>
      </w:pPr>
      <w:r>
        <w:rPr>
          <w:rFonts w:ascii="Carlito" w:hAnsi="Carlito"/>
          <w:color w:val="233440"/>
          <w:sz w:val="19"/>
        </w:rPr>
        <w:t>13. Requisitos no funcionales</w:t>
      </w:r>
    </w:p>
    <w:p>
      <w:pPr>
        <w:spacing w:after="40"/>
      </w:pPr>
      <w:r>
        <w:rPr>
          <w:rFonts w:ascii="Carlito" w:hAnsi="Carlito"/>
          <w:color w:val="233440"/>
          <w:sz w:val="19"/>
        </w:rPr>
        <w:t>14. Pantallas del MVP</w:t>
      </w:r>
    </w:p>
    <w:p>
      <w:pPr>
        <w:spacing w:after="40"/>
      </w:pPr>
      <w:r>
        <w:rPr>
          <w:rFonts w:ascii="Carlito" w:hAnsi="Carlito"/>
          <w:color w:val="233440"/>
          <w:sz w:val="19"/>
        </w:rPr>
        <w:t>15. Alcance del MVP y roadmap</w:t>
      </w:r>
    </w:p>
    <w:p>
      <w:pPr>
        <w:spacing w:after="40"/>
      </w:pPr>
      <w:r>
        <w:rPr>
          <w:rFonts w:ascii="Carlito" w:hAnsi="Carlito"/>
          <w:color w:val="233440"/>
          <w:sz w:val="19"/>
        </w:rPr>
        <w:t>16. API y procesos internos</w:t>
      </w:r>
    </w:p>
    <w:p>
      <w:pPr>
        <w:spacing w:after="40"/>
      </w:pPr>
      <w:r>
        <w:rPr>
          <w:rFonts w:ascii="Carlito" w:hAnsi="Carlito"/>
          <w:color w:val="233440"/>
          <w:sz w:val="19"/>
        </w:rPr>
        <w:t>17. Pruebas, despliegue y operación</w:t>
      </w:r>
    </w:p>
    <w:p>
      <w:pPr>
        <w:spacing w:after="40"/>
      </w:pPr>
      <w:r>
        <w:rPr>
          <w:rFonts w:ascii="Carlito" w:hAnsi="Carlito"/>
          <w:color w:val="233440"/>
          <w:sz w:val="19"/>
        </w:rPr>
        <w:t>18. Riesgos, decisiones pendientes y criterios de aceptación</w:t>
      </w:r>
    </w:p>
    <w:p>
      <w:pPr>
        <w:spacing w:after="40"/>
      </w:pPr>
      <w:r>
        <w:rPr>
          <w:rFonts w:ascii="Carlito" w:hAnsi="Carlito"/>
          <w:color w:val="233440"/>
          <w:sz w:val="19"/>
        </w:rPr>
        <w:t>19. Referencias</w:t>
      </w:r>
    </w:p>
    <w:p>
      <w:r>
        <w:br w:type="page"/>
      </w:r>
    </w:p>
    <w:p>
      <w:pPr>
        <w:pStyle w:val="Heading1"/>
      </w:pPr>
      <w:r>
        <w:t>1. Resumen ejecutivo</w:t>
      </w:r>
    </w:p>
    <w:p>
      <w:pPr>
        <w:spacing w:after="120" w:line="259" w:lineRule="auto"/>
      </w:pPr>
      <w:r>
        <w:rPr>
          <w:rFonts w:ascii="Carlito" w:hAnsi="Carlito"/>
          <w:color w:val="233440"/>
          <w:sz w:val="20"/>
        </w:rPr>
        <w:t>Se propone desarrollar una aplicación web corporativa para solicitar, aprobar, rechazar, revocar, cancelar y administrar licencias y ausencias. La solución reemplazará gradualmente la operatoria actual basada en listas de SharePoint, conservando integración con el ecosistema Microsoft para autenticación, identidad organizacional y, cuando resulte útil, notificaciones e importación de datos.</w:t>
      </w:r>
    </w:p>
    <w:p>
      <w:pPr>
        <w:spacing w:after="120" w:line="259" w:lineRule="auto"/>
      </w:pPr>
      <w:r>
        <w:rPr>
          <w:rFonts w:ascii="Carlito" w:hAnsi="Carlito"/>
          <w:color w:val="233440"/>
          <w:sz w:val="20"/>
        </w:rPr>
        <w:t>La aplicación será responsive y podrá utilizarse desde navegador en PC, tablet o celular. Se recomienda habilitarla como PWA para permitir instalación desde el navegador sin mantener aplicaciones nativas separadas.</w:t>
      </w:r>
    </w:p>
    <w:tbl>
      <w:tblPr>
        <w:tblW w:type="auto" w:w="0"/>
        <w:jc w:val="center"/>
        <w:tblLook w:firstColumn="1" w:firstRow="1" w:lastColumn="0" w:lastRow="0" w:noHBand="0" w:noVBand="1" w:val="04A0"/>
      </w:tblPr>
      <w:tblGrid>
        <w:gridCol w:w="10166"/>
      </w:tblGrid>
      <w:tr>
        <w:tc>
          <w:tcPr>
            <w:tcW w:type="dxa" w:w="10166"/>
            <w:shd w:fill="EEF4F8"/>
            <w:tcMar>
              <w:top w:w="130" w:type="dxa"/>
              <w:start w:w="160" w:type="dxa"/>
              <w:bottom w:w="130" w:type="dxa"/>
              <w:end w:w="160" w:type="dxa"/>
            </w:tcMar>
          </w:tcPr>
          <w:p>
            <w:r>
              <w:rPr>
                <w:rFonts w:ascii="Carlito" w:hAnsi="Carlito"/>
                <w:b/>
                <w:color w:val="294C60"/>
                <w:sz w:val="21"/>
              </w:rPr>
              <w:t>Decisión arquitectónica central</w:t>
              <w:br/>
            </w:r>
            <w:r>
              <w:rPr>
                <w:rFonts w:ascii="Carlito" w:hAnsi="Carlito"/>
                <w:color w:val="233440"/>
                <w:sz w:val="20"/>
              </w:rPr>
              <w:t>Microsoft Entra ID será el proveedor de identidad y SSO. La lógica de negocio, la interfaz, los permisos funcionales, la base de datos y el almacenamiento de comprobantes pertenecerán a la aplicación propia. Esto evita que el sistema quede acoplado a Power Apps o a SharePoint como plataforma operativa.</w:t>
            </w:r>
          </w:p>
        </w:tc>
      </w:tr>
    </w:tbl>
    <w:p>
      <w:pPr>
        <w:spacing w:after="0"/>
      </w:pPr>
    </w:p>
    <w:p>
      <w:pPr>
        <w:spacing w:after="120" w:line="259" w:lineRule="auto"/>
      </w:pPr>
      <w:r>
        <w:rPr>
          <w:rFonts w:ascii="Carlito" w:hAnsi="Carlito"/>
          <w:color w:val="233440"/>
          <w:sz w:val="20"/>
        </w:rPr>
        <w:t>El diseño se basa en cuatro ideas: (1) permisos por rol y alcance organizacional; (2) políticas de licencia configurables y versionadas; (3) saldos derivados de movimientos auditables en lugar de números editables; y (4) separación estricta entre datos operativos y documentos sensibles, especialmente comprobantes médicos.</w:t>
      </w:r>
    </w:p>
    <w:p>
      <w:pPr>
        <w:pStyle w:val="Heading1"/>
      </w:pPr>
      <w:r>
        <w:t>2. Contexto, objetivos y alcance</w:t>
      </w:r>
    </w:p>
    <w:p>
      <w:pPr>
        <w:pStyle w:val="Heading2"/>
      </w:pPr>
      <w:r>
        <w:t>2.1 Contexto actual</w:t>
      </w:r>
    </w:p>
    <w:p>
      <w:pPr>
        <w:pStyle w:val="ListBullet"/>
        <w:spacing w:after="60"/>
      </w:pPr>
      <w:r>
        <w:rPr>
          <w:rFonts w:ascii="Carlito" w:hAnsi="Carlito"/>
          <w:b/>
          <w:color w:val="233440"/>
          <w:sz w:val="20"/>
        </w:rPr>
        <w:t xml:space="preserve">Situación actual. </w:t>
      </w:r>
      <w:r>
        <w:rPr>
          <w:rFonts w:ascii="Carlito" w:hAnsi="Carlito"/>
          <w:color w:val="233440"/>
          <w:sz w:val="20"/>
        </w:rPr>
        <w:t>La información se encuentra en listas de SharePoint, con limitaciones para evolucionar reglas, experiencia de usuario, trazabilidad y permisos complejos.</w:t>
      </w:r>
    </w:p>
    <w:p>
      <w:pPr>
        <w:pStyle w:val="ListBullet"/>
        <w:spacing w:after="60"/>
      </w:pPr>
      <w:r>
        <w:rPr>
          <w:rFonts w:ascii="Carlito" w:hAnsi="Carlito"/>
          <w:b/>
          <w:color w:val="233440"/>
          <w:sz w:val="20"/>
        </w:rPr>
        <w:t xml:space="preserve">Nueva necesidad. </w:t>
      </w:r>
      <w:r>
        <w:rPr>
          <w:rFonts w:ascii="Carlito" w:hAnsi="Carlito"/>
          <w:color w:val="233440"/>
          <w:sz w:val="20"/>
        </w:rPr>
        <w:t>Centralizar solicitudes y gestión de licencias en una aplicación propia, disponible para toda la organización desde PC y celular.</w:t>
      </w:r>
    </w:p>
    <w:p>
      <w:pPr>
        <w:pStyle w:val="ListBullet"/>
        <w:spacing w:after="60"/>
      </w:pPr>
      <w:r>
        <w:rPr>
          <w:rFonts w:ascii="Carlito" w:hAnsi="Carlito"/>
          <w:b/>
          <w:color w:val="233440"/>
          <w:sz w:val="20"/>
        </w:rPr>
        <w:t xml:space="preserve">Integración requerida. </w:t>
      </w:r>
      <w:r>
        <w:rPr>
          <w:rFonts w:ascii="Carlito" w:hAnsi="Carlito"/>
          <w:color w:val="233440"/>
          <w:sz w:val="20"/>
        </w:rPr>
        <w:t>Mantener SSO de Microsoft y capacidad de consumir datos corporativos existentes mediante Microsoft Graph.</w:t>
      </w:r>
    </w:p>
    <w:p>
      <w:pPr>
        <w:pStyle w:val="ListBullet"/>
        <w:spacing w:after="60"/>
      </w:pPr>
      <w:r>
        <w:rPr>
          <w:rFonts w:ascii="Carlito" w:hAnsi="Carlito"/>
          <w:b/>
          <w:color w:val="233440"/>
          <w:sz w:val="20"/>
        </w:rPr>
        <w:t xml:space="preserve">Crecimiento esperado. </w:t>
      </w:r>
      <w:r>
        <w:rPr>
          <w:rFonts w:ascii="Carlito" w:hAnsi="Carlito"/>
          <w:color w:val="233440"/>
          <w:sz w:val="20"/>
        </w:rPr>
        <w:t>El sistema debe admitir nuevos tipos de licencia y nuevas reglas sin requerir cambios de código para cada modificación de política.</w:t>
      </w:r>
    </w:p>
    <w:p>
      <w:pPr>
        <w:pStyle w:val="Heading2"/>
      </w:pPr>
      <w:r>
        <w:t>2.2 Objetivos</w:t>
      </w:r>
    </w:p>
    <w:p>
      <w:pPr>
        <w:pStyle w:val="ListBullet"/>
        <w:spacing w:after="60"/>
      </w:pPr>
      <w:r>
        <w:rPr>
          <w:rFonts w:ascii="Carlito" w:hAnsi="Carlito"/>
          <w:color w:val="233440"/>
          <w:sz w:val="20"/>
        </w:rPr>
        <w:t>Permitir al empleado conocer sus saldos y gestionar sus propias solicitudes.</w:t>
      </w:r>
    </w:p>
    <w:p>
      <w:pPr>
        <w:pStyle w:val="ListBullet"/>
        <w:spacing w:after="60"/>
      </w:pPr>
      <w:r>
        <w:rPr>
          <w:rFonts w:ascii="Carlito" w:hAnsi="Carlito"/>
          <w:color w:val="233440"/>
          <w:sz w:val="20"/>
        </w:rPr>
        <w:t>Permitir a supervisores y encargados administrar a las personas dentro de su alcance organizacional.</w:t>
      </w:r>
    </w:p>
    <w:p>
      <w:pPr>
        <w:pStyle w:val="ListBullet"/>
        <w:spacing w:after="60"/>
      </w:pPr>
      <w:r>
        <w:rPr>
          <w:rFonts w:ascii="Carlito" w:hAnsi="Carlito"/>
          <w:color w:val="233440"/>
          <w:sz w:val="20"/>
        </w:rPr>
        <w:t>Permitir a RRHH configurar tipos de licencia, políticas, feriados, saldos, calendarios y excepciones sin despliegues.</w:t>
      </w:r>
    </w:p>
    <w:p>
      <w:pPr>
        <w:pStyle w:val="ListBullet"/>
        <w:spacing w:after="60"/>
      </w:pPr>
      <w:r>
        <w:rPr>
          <w:rFonts w:ascii="Carlito" w:hAnsi="Carlito"/>
          <w:color w:val="233440"/>
          <w:sz w:val="20"/>
        </w:rPr>
        <w:t>Mantener historial y auditoría de todas las decisiones y modificaciones.</w:t>
      </w:r>
    </w:p>
    <w:p>
      <w:pPr>
        <w:pStyle w:val="ListBullet"/>
        <w:spacing w:after="60"/>
      </w:pPr>
      <w:r>
        <w:rPr>
          <w:rFonts w:ascii="Carlito" w:hAnsi="Carlito"/>
          <w:color w:val="233440"/>
          <w:sz w:val="20"/>
        </w:rPr>
        <w:t>Evitar inconsistencias de saldos y solicitudes mediante transacciones, reservas y validaciones de concurrencia.</w:t>
      </w:r>
    </w:p>
    <w:p>
      <w:pPr>
        <w:pStyle w:val="ListBullet"/>
        <w:spacing w:after="60"/>
      </w:pPr>
      <w:r>
        <w:rPr>
          <w:rFonts w:ascii="Carlito" w:hAnsi="Carlito"/>
          <w:color w:val="233440"/>
          <w:sz w:val="20"/>
        </w:rPr>
        <w:t>Proteger documentos sensibles y restringir su acceso según necesidad de negocio.</w:t>
      </w:r>
    </w:p>
    <w:p>
      <w:pPr>
        <w:pStyle w:val="ListBullet"/>
        <w:spacing w:after="60"/>
      </w:pPr>
      <w:r>
        <w:rPr>
          <w:rFonts w:ascii="Carlito" w:hAnsi="Carlito"/>
          <w:color w:val="233440"/>
          <w:sz w:val="20"/>
        </w:rPr>
        <w:t>Facilitar una migración controlada desde SharePoint y reducir progresivamente su rol operativo.</w:t>
      </w:r>
    </w:p>
    <w:p>
      <w:pPr>
        <w:pStyle w:val="Heading2"/>
      </w:pPr>
      <w:r>
        <w:t>2.3 Alcance funcional incluido</w:t>
      </w:r>
    </w:p>
    <w:p>
      <w:pPr>
        <w:pStyle w:val="ListBullet"/>
        <w:spacing w:after="60"/>
      </w:pPr>
      <w:r>
        <w:rPr>
          <w:rFonts w:ascii="Carlito" w:hAnsi="Carlito"/>
          <w:color w:val="233440"/>
          <w:sz w:val="20"/>
        </w:rPr>
        <w:t>Autenticación SSO con Microsoft Entra ID.</w:t>
      </w:r>
    </w:p>
    <w:p>
      <w:pPr>
        <w:pStyle w:val="ListBullet"/>
        <w:spacing w:after="60"/>
      </w:pPr>
      <w:r>
        <w:rPr>
          <w:rFonts w:ascii="Carlito" w:hAnsi="Carlito"/>
          <w:color w:val="233440"/>
          <w:sz w:val="20"/>
        </w:rPr>
        <w:t>Jerarquía organizacional con unidades padre/hijas y alcances configurables.</w:t>
      </w:r>
    </w:p>
    <w:p>
      <w:pPr>
        <w:pStyle w:val="ListBullet"/>
        <w:spacing w:after="60"/>
      </w:pPr>
      <w:r>
        <w:rPr>
          <w:rFonts w:ascii="Carlito" w:hAnsi="Carlito"/>
          <w:color w:val="233440"/>
          <w:sz w:val="20"/>
        </w:rPr>
        <w:t>Roles: Empleado, Supervisor, Encargado, RRHH y Administrador Técnico.</w:t>
      </w:r>
    </w:p>
    <w:p>
      <w:pPr>
        <w:pStyle w:val="ListBullet"/>
        <w:spacing w:after="60"/>
      </w:pPr>
      <w:r>
        <w:rPr>
          <w:rFonts w:ascii="Carlito" w:hAnsi="Carlito"/>
          <w:color w:val="233440"/>
          <w:sz w:val="20"/>
        </w:rPr>
        <w:t>Gestión configurable de tipos de licencia y buckets de saldo.</w:t>
      </w:r>
    </w:p>
    <w:p>
      <w:pPr>
        <w:pStyle w:val="ListBullet"/>
        <w:spacing w:after="60"/>
      </w:pPr>
      <w:r>
        <w:rPr>
          <w:rFonts w:ascii="Carlito" w:hAnsi="Carlito"/>
          <w:color w:val="233440"/>
          <w:sz w:val="20"/>
        </w:rPr>
        <w:t>Solicitud, aprobación, rechazo, revocación y cancelación de licencias.</w:t>
      </w:r>
    </w:p>
    <w:p>
      <w:pPr>
        <w:pStyle w:val="ListBullet"/>
        <w:spacing w:after="60"/>
      </w:pPr>
      <w:r>
        <w:rPr>
          <w:rFonts w:ascii="Carlito" w:hAnsi="Carlito"/>
          <w:color w:val="233440"/>
          <w:sz w:val="20"/>
        </w:rPr>
        <w:t>Altas manuales de licencias por perfiles autorizados.</w:t>
      </w:r>
    </w:p>
    <w:p>
      <w:pPr>
        <w:pStyle w:val="ListBullet"/>
        <w:spacing w:after="60"/>
      </w:pPr>
      <w:r>
        <w:rPr>
          <w:rFonts w:ascii="Carlito" w:hAnsi="Carlito"/>
          <w:color w:val="233440"/>
          <w:sz w:val="20"/>
        </w:rPr>
        <w:t>Comentarios e historial de decisiones.</w:t>
      </w:r>
    </w:p>
    <w:p>
      <w:pPr>
        <w:pStyle w:val="ListBullet"/>
        <w:spacing w:after="60"/>
      </w:pPr>
      <w:r>
        <w:rPr>
          <w:rFonts w:ascii="Carlito" w:hAnsi="Carlito"/>
          <w:color w:val="233440"/>
          <w:sz w:val="20"/>
        </w:rPr>
        <w:t>Adjuntos para tipos de licencia que lo requieran.</w:t>
      </w:r>
    </w:p>
    <w:p>
      <w:pPr>
        <w:pStyle w:val="ListBullet"/>
        <w:spacing w:after="60"/>
      </w:pPr>
      <w:r>
        <w:rPr>
          <w:rFonts w:ascii="Carlito" w:hAnsi="Carlito"/>
          <w:color w:val="233440"/>
          <w:sz w:val="20"/>
        </w:rPr>
        <w:t>Cálculo de días hábiles/corridos, feriados y medios días según política.</w:t>
      </w:r>
    </w:p>
    <w:p>
      <w:pPr>
        <w:pStyle w:val="ListBullet"/>
        <w:spacing w:after="60"/>
      </w:pPr>
      <w:r>
        <w:rPr>
          <w:rFonts w:ascii="Carlito" w:hAnsi="Carlito"/>
          <w:color w:val="233440"/>
          <w:sz w:val="20"/>
        </w:rPr>
        <w:t>Control configurable de solapamientos y simultaneidad de ausencias.</w:t>
      </w:r>
    </w:p>
    <w:p>
      <w:pPr>
        <w:pStyle w:val="ListBullet"/>
        <w:spacing w:after="60"/>
      </w:pPr>
      <w:r>
        <w:rPr>
          <w:rFonts w:ascii="Carlito" w:hAnsi="Carlito"/>
          <w:color w:val="233440"/>
          <w:sz w:val="20"/>
        </w:rPr>
        <w:t>Ledger de saldos, ajustes, reservas, consumos y devoluciones.</w:t>
      </w:r>
    </w:p>
    <w:p>
      <w:pPr>
        <w:pStyle w:val="ListBullet"/>
        <w:spacing w:after="60"/>
      </w:pPr>
      <w:r>
        <w:rPr>
          <w:rFonts w:ascii="Carlito" w:hAnsi="Carlito"/>
          <w:color w:val="233440"/>
          <w:sz w:val="20"/>
        </w:rPr>
        <w:t>Calendario individual y de equipo.</w:t>
      </w:r>
    </w:p>
    <w:p>
      <w:pPr>
        <w:pStyle w:val="ListBullet"/>
        <w:spacing w:after="60"/>
      </w:pPr>
      <w:r>
        <w:rPr>
          <w:rFonts w:ascii="Carlito" w:hAnsi="Carlito"/>
          <w:color w:val="233440"/>
          <w:sz w:val="20"/>
        </w:rPr>
        <w:t>Notificaciones y bandeja de pendientes.</w:t>
      </w:r>
    </w:p>
    <w:p>
      <w:pPr>
        <w:pStyle w:val="ListBullet"/>
        <w:spacing w:after="60"/>
      </w:pPr>
      <w:r>
        <w:rPr>
          <w:rFonts w:ascii="Carlito" w:hAnsi="Carlito"/>
          <w:color w:val="233440"/>
          <w:sz w:val="20"/>
        </w:rPr>
        <w:t>Auditoría y reportes básicos.</w:t>
      </w:r>
    </w:p>
    <w:p>
      <w:pPr>
        <w:pStyle w:val="ListBullet"/>
        <w:spacing w:after="60"/>
      </w:pPr>
      <w:r>
        <w:rPr>
          <w:rFonts w:ascii="Carlito" w:hAnsi="Carlito"/>
          <w:color w:val="233440"/>
          <w:sz w:val="20"/>
        </w:rPr>
        <w:t>Migración inicial desde listas de SharePoint.</w:t>
      </w:r>
    </w:p>
    <w:p>
      <w:pPr>
        <w:pStyle w:val="Heading2"/>
      </w:pPr>
      <w:r>
        <w:t>2.4 Fuera del MVP inicial</w:t>
      </w:r>
    </w:p>
    <w:p>
      <w:pPr>
        <w:spacing w:after="120" w:line="259" w:lineRule="auto"/>
      </w:pPr>
      <w:r>
        <w:rPr>
          <w:rFonts w:ascii="Carlito" w:hAnsi="Carlito"/>
          <w:color w:val="233440"/>
          <w:sz w:val="20"/>
        </w:rPr>
        <w:t>Los siguientes puntos se recomiendan para etapas posteriores salvo que el negocio los declare imprescindibles durante el relevamiento: app móvil nativa iOS/Android, integración con nómina/ERP, firma electrónica avanzada, motor BPM externo, analítica avanzada/BI, automatización de documentación legal, multiempresa compleja y autoservicio de reglas por lenguaje natural.</w:t>
      </w:r>
    </w:p>
    <w:p>
      <w:pPr>
        <w:pStyle w:val="Heading1"/>
      </w:pPr>
      <w:r>
        <w:t>3. Principios y decisiones de arquitectura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900"/>
            <w:shd w:fill="294C60"/>
            <w:tcMar>
              <w:top w:w="90" w:type="dxa"/>
              <w:start w:w="90" w:type="dxa"/>
              <w:bottom w:w="90" w:type="dxa"/>
              <w:end w:w="90" w:type="dxa"/>
            </w:tcMar>
            <w:vAlign w:val="center"/>
          </w:tcPr>
          <w:p>
            <w:pPr>
              <w:jc w:val="left"/>
            </w:pPr>
            <w:r>
              <w:rPr>
                <w:rFonts w:ascii="Carlito" w:hAnsi="Carlito"/>
                <w:b/>
                <w:color w:val="FFFFFF"/>
                <w:sz w:val="17"/>
              </w:rPr>
              <w:t>Principio</w:t>
            </w:r>
          </w:p>
        </w:tc>
        <w:tc>
          <w:tcPr>
            <w:tcW w:type="dxa" w:w="4900"/>
            <w:shd w:fill="294C60"/>
            <w:tcMar>
              <w:top w:w="90" w:type="dxa"/>
              <w:start w:w="90" w:type="dxa"/>
              <w:bottom w:w="90" w:type="dxa"/>
              <w:end w:w="90" w:type="dxa"/>
            </w:tcMar>
            <w:vAlign w:val="center"/>
          </w:tcPr>
          <w:p>
            <w:pPr>
              <w:jc w:val="left"/>
            </w:pPr>
            <w:r>
              <w:rPr>
                <w:rFonts w:ascii="Carlito" w:hAnsi="Carlito"/>
                <w:b/>
                <w:color w:val="FFFFFF"/>
                <w:sz w:val="17"/>
              </w:rPr>
              <w:t>Aplicación</w:t>
            </w:r>
          </w:p>
        </w:tc>
      </w:tr>
      <w:tr>
        <w:trPr>
          <w:cantSplit/>
        </w:trPr>
        <w:tc>
          <w:tcPr>
            <w:tcW w:type="dxa" w:w="1900"/>
            <w:tcMar>
              <w:top w:w="90" w:type="dxa"/>
              <w:start w:w="90" w:type="dxa"/>
              <w:bottom w:w="90" w:type="dxa"/>
              <w:end w:w="90" w:type="dxa"/>
            </w:tcMar>
            <w:vAlign w:val="top"/>
          </w:tcPr>
          <w:p>
            <w:pPr>
              <w:spacing w:after="0"/>
            </w:pPr>
            <w:r>
              <w:rPr>
                <w:rFonts w:ascii="Carlito" w:hAnsi="Carlito"/>
                <w:color w:val="233440"/>
                <w:sz w:val="17"/>
              </w:rPr>
              <w:t>Aplicación independiente</w:t>
            </w:r>
          </w:p>
        </w:tc>
        <w:tc>
          <w:tcPr>
            <w:tcW w:type="dxa" w:w="4900"/>
            <w:tcMar>
              <w:top w:w="90" w:type="dxa"/>
              <w:start w:w="90" w:type="dxa"/>
              <w:bottom w:w="90" w:type="dxa"/>
              <w:end w:w="90" w:type="dxa"/>
            </w:tcMar>
            <w:vAlign w:val="top"/>
          </w:tcPr>
          <w:p>
            <w:pPr>
              <w:spacing w:after="0"/>
            </w:pPr>
            <w:r>
              <w:rPr>
                <w:rFonts w:ascii="Carlito" w:hAnsi="Carlito"/>
                <w:color w:val="233440"/>
                <w:sz w:val="17"/>
              </w:rPr>
              <w:t>La UI, API y datos pertenecen a la solución propia. SharePoint no será la base transaccional del nuevo sistema.</w:t>
            </w:r>
          </w:p>
        </w:tc>
      </w:tr>
      <w:tr>
        <w:trPr>
          <w:cantSplit/>
        </w:trPr>
        <w:tc>
          <w:tcPr>
            <w:tcW w:type="dxa" w:w="1900"/>
            <w:shd w:fill="FAFBFC"/>
            <w:tcMar>
              <w:top w:w="90" w:type="dxa"/>
              <w:start w:w="90" w:type="dxa"/>
              <w:bottom w:w="90" w:type="dxa"/>
              <w:end w:w="90" w:type="dxa"/>
            </w:tcMar>
            <w:vAlign w:val="top"/>
          </w:tcPr>
          <w:p>
            <w:pPr>
              <w:spacing w:after="0"/>
            </w:pPr>
            <w:r>
              <w:rPr>
                <w:rFonts w:ascii="Carlito" w:hAnsi="Carlito"/>
                <w:color w:val="233440"/>
                <w:sz w:val="17"/>
              </w:rPr>
              <w:t>Backend como autoridad</w:t>
            </w:r>
          </w:p>
        </w:tc>
        <w:tc>
          <w:tcPr>
            <w:tcW w:type="dxa" w:w="4900"/>
            <w:shd w:fill="FAFBFC"/>
            <w:tcMar>
              <w:top w:w="90" w:type="dxa"/>
              <w:start w:w="90" w:type="dxa"/>
              <w:bottom w:w="90" w:type="dxa"/>
              <w:end w:w="90" w:type="dxa"/>
            </w:tcMar>
            <w:vAlign w:val="top"/>
          </w:tcPr>
          <w:p>
            <w:pPr>
              <w:spacing w:after="0"/>
            </w:pPr>
            <w:r>
              <w:rPr>
                <w:rFonts w:ascii="Carlito" w:hAnsi="Carlito"/>
                <w:color w:val="233440"/>
                <w:sz w:val="17"/>
              </w:rPr>
              <w:t>Todos los permisos y reglas se validan en API. Ocultar un botón en frontend nunca se considera control de seguridad.</w:t>
            </w:r>
          </w:p>
        </w:tc>
      </w:tr>
      <w:tr>
        <w:trPr>
          <w:cantSplit/>
        </w:trPr>
        <w:tc>
          <w:tcPr>
            <w:tcW w:type="dxa" w:w="1900"/>
            <w:tcMar>
              <w:top w:w="90" w:type="dxa"/>
              <w:start w:w="90" w:type="dxa"/>
              <w:bottom w:w="90" w:type="dxa"/>
              <w:end w:w="90" w:type="dxa"/>
            </w:tcMar>
            <w:vAlign w:val="top"/>
          </w:tcPr>
          <w:p>
            <w:pPr>
              <w:spacing w:after="0"/>
            </w:pPr>
            <w:r>
              <w:rPr>
                <w:rFonts w:ascii="Carlito" w:hAnsi="Carlito"/>
                <w:color w:val="233440"/>
                <w:sz w:val="17"/>
              </w:rPr>
              <w:t>Configuración sobre código</w:t>
            </w:r>
          </w:p>
        </w:tc>
        <w:tc>
          <w:tcPr>
            <w:tcW w:type="dxa" w:w="4900"/>
            <w:tcMar>
              <w:top w:w="90" w:type="dxa"/>
              <w:start w:w="90" w:type="dxa"/>
              <w:bottom w:w="90" w:type="dxa"/>
              <w:end w:w="90" w:type="dxa"/>
            </w:tcMar>
            <w:vAlign w:val="top"/>
          </w:tcPr>
          <w:p>
            <w:pPr>
              <w:spacing w:after="0"/>
            </w:pPr>
            <w:r>
              <w:rPr>
                <w:rFonts w:ascii="Carlito" w:hAnsi="Carlito"/>
                <w:color w:val="233440"/>
                <w:sz w:val="17"/>
              </w:rPr>
              <w:t>Reglas variables se almacenan como configuración versionada con fechas de vigencia.</w:t>
            </w:r>
          </w:p>
        </w:tc>
      </w:tr>
      <w:tr>
        <w:trPr>
          <w:cantSplit/>
        </w:trPr>
        <w:tc>
          <w:tcPr>
            <w:tcW w:type="dxa" w:w="1900"/>
            <w:shd w:fill="FAFBFC"/>
            <w:tcMar>
              <w:top w:w="90" w:type="dxa"/>
              <w:start w:w="90" w:type="dxa"/>
              <w:bottom w:w="90" w:type="dxa"/>
              <w:end w:w="90" w:type="dxa"/>
            </w:tcMar>
            <w:vAlign w:val="top"/>
          </w:tcPr>
          <w:p>
            <w:pPr>
              <w:spacing w:after="0"/>
            </w:pPr>
            <w:r>
              <w:rPr>
                <w:rFonts w:ascii="Carlito" w:hAnsi="Carlito"/>
                <w:color w:val="233440"/>
                <w:sz w:val="17"/>
              </w:rPr>
              <w:t>Trazabilidad financiera de días</w:t>
            </w:r>
          </w:p>
        </w:tc>
        <w:tc>
          <w:tcPr>
            <w:tcW w:type="dxa" w:w="4900"/>
            <w:shd w:fill="FAFBFC"/>
            <w:tcMar>
              <w:top w:w="90" w:type="dxa"/>
              <w:start w:w="90" w:type="dxa"/>
              <w:bottom w:w="90" w:type="dxa"/>
              <w:end w:w="90" w:type="dxa"/>
            </w:tcMar>
            <w:vAlign w:val="top"/>
          </w:tcPr>
          <w:p>
            <w:pPr>
              <w:spacing w:after="0"/>
            </w:pPr>
            <w:r>
              <w:rPr>
                <w:rFonts w:ascii="Carlito" w:hAnsi="Carlito"/>
                <w:color w:val="233440"/>
                <w:sz w:val="17"/>
              </w:rPr>
              <w:t>Los saldos se calculan desde movimientos (crédito, reserva, consumo, liberación, devolución, ajuste).</w:t>
            </w:r>
          </w:p>
        </w:tc>
      </w:tr>
      <w:tr>
        <w:trPr>
          <w:cantSplit/>
        </w:trPr>
        <w:tc>
          <w:tcPr>
            <w:tcW w:type="dxa" w:w="1900"/>
            <w:tcMar>
              <w:top w:w="90" w:type="dxa"/>
              <w:start w:w="90" w:type="dxa"/>
              <w:bottom w:w="90" w:type="dxa"/>
              <w:end w:w="90" w:type="dxa"/>
            </w:tcMar>
            <w:vAlign w:val="top"/>
          </w:tcPr>
          <w:p>
            <w:pPr>
              <w:spacing w:after="0"/>
            </w:pPr>
            <w:r>
              <w:rPr>
                <w:rFonts w:ascii="Carlito" w:hAnsi="Carlito"/>
                <w:color w:val="233440"/>
                <w:sz w:val="17"/>
              </w:rPr>
              <w:t>Least privilege</w:t>
            </w:r>
          </w:p>
        </w:tc>
        <w:tc>
          <w:tcPr>
            <w:tcW w:type="dxa" w:w="4900"/>
            <w:tcMar>
              <w:top w:w="90" w:type="dxa"/>
              <w:start w:w="90" w:type="dxa"/>
              <w:bottom w:w="90" w:type="dxa"/>
              <w:end w:w="90" w:type="dxa"/>
            </w:tcMar>
            <w:vAlign w:val="top"/>
          </w:tcPr>
          <w:p>
            <w:pPr>
              <w:spacing w:after="0"/>
            </w:pPr>
            <w:r>
              <w:rPr>
                <w:rFonts w:ascii="Carlito" w:hAnsi="Carlito"/>
                <w:color w:val="233440"/>
                <w:sz w:val="17"/>
              </w:rPr>
              <w:t>Cada integración Microsoft recibe únicamente los permisos necesarios. Para SharePoint se priorizan permisos seleccionados sobre permisos globales.</w:t>
            </w:r>
          </w:p>
        </w:tc>
      </w:tr>
      <w:tr>
        <w:trPr>
          <w:cantSplit/>
        </w:trPr>
        <w:tc>
          <w:tcPr>
            <w:tcW w:type="dxa" w:w="1900"/>
            <w:shd w:fill="FAFBFC"/>
            <w:tcMar>
              <w:top w:w="90" w:type="dxa"/>
              <w:start w:w="90" w:type="dxa"/>
              <w:bottom w:w="90" w:type="dxa"/>
              <w:end w:w="90" w:type="dxa"/>
            </w:tcMar>
            <w:vAlign w:val="top"/>
          </w:tcPr>
          <w:p>
            <w:pPr>
              <w:spacing w:after="0"/>
            </w:pPr>
            <w:r>
              <w:rPr>
                <w:rFonts w:ascii="Carlito" w:hAnsi="Carlito"/>
                <w:color w:val="233440"/>
                <w:sz w:val="17"/>
              </w:rPr>
              <w:t>Privacidad por diseño</w:t>
            </w:r>
          </w:p>
        </w:tc>
        <w:tc>
          <w:tcPr>
            <w:tcW w:type="dxa" w:w="4900"/>
            <w:shd w:fill="FAFBFC"/>
            <w:tcMar>
              <w:top w:w="90" w:type="dxa"/>
              <w:start w:w="90" w:type="dxa"/>
              <w:bottom w:w="90" w:type="dxa"/>
              <w:end w:w="90" w:type="dxa"/>
            </w:tcMar>
            <w:vAlign w:val="top"/>
          </w:tcPr>
          <w:p>
            <w:pPr>
              <w:spacing w:after="0"/>
            </w:pPr>
            <w:r>
              <w:rPr>
                <w:rFonts w:ascii="Carlito" w:hAnsi="Carlito"/>
                <w:color w:val="233440"/>
                <w:sz w:val="17"/>
              </w:rPr>
              <w:t>Los comprobantes sensibles se almacenan privados y su acceso requiere autorización específica y auditable.</w:t>
            </w:r>
          </w:p>
        </w:tc>
      </w:tr>
      <w:tr>
        <w:trPr>
          <w:cantSplit/>
        </w:trPr>
        <w:tc>
          <w:tcPr>
            <w:tcW w:type="dxa" w:w="1900"/>
            <w:tcMar>
              <w:top w:w="90" w:type="dxa"/>
              <w:start w:w="90" w:type="dxa"/>
              <w:bottom w:w="90" w:type="dxa"/>
              <w:end w:w="90" w:type="dxa"/>
            </w:tcMar>
            <w:vAlign w:val="top"/>
          </w:tcPr>
          <w:p>
            <w:pPr>
              <w:spacing w:after="0"/>
            </w:pPr>
            <w:r>
              <w:rPr>
                <w:rFonts w:ascii="Carlito" w:hAnsi="Carlito"/>
                <w:color w:val="233440"/>
                <w:sz w:val="17"/>
              </w:rPr>
              <w:t>Portabilidad</w:t>
            </w:r>
          </w:p>
        </w:tc>
        <w:tc>
          <w:tcPr>
            <w:tcW w:type="dxa" w:w="4900"/>
            <w:tcMar>
              <w:top w:w="90" w:type="dxa"/>
              <w:start w:w="90" w:type="dxa"/>
              <w:bottom w:w="90" w:type="dxa"/>
              <w:end w:w="90" w:type="dxa"/>
            </w:tcMar>
            <w:vAlign w:val="top"/>
          </w:tcPr>
          <w:p>
            <w:pPr>
              <w:spacing w:after="0"/>
            </w:pPr>
            <w:r>
              <w:rPr>
                <w:rFonts w:ascii="Carlito" w:hAnsi="Carlito"/>
                <w:color w:val="233440"/>
                <w:sz w:val="17"/>
              </w:rPr>
              <w:t>Frontend y backend se empaquetan en contenedores. PostgreSQL mantiene bajo el acoplamiento con un proveedor de nube concreto.</w:t>
            </w:r>
          </w:p>
        </w:tc>
      </w:tr>
      <w:tr>
        <w:trPr>
          <w:cantSplit/>
        </w:trPr>
        <w:tc>
          <w:tcPr>
            <w:tcW w:type="dxa" w:w="1900"/>
            <w:shd w:fill="FAFBFC"/>
            <w:tcMar>
              <w:top w:w="90" w:type="dxa"/>
              <w:start w:w="90" w:type="dxa"/>
              <w:bottom w:w="90" w:type="dxa"/>
              <w:end w:w="90" w:type="dxa"/>
            </w:tcMar>
            <w:vAlign w:val="top"/>
          </w:tcPr>
          <w:p>
            <w:pPr>
              <w:spacing w:after="0"/>
            </w:pPr>
            <w:r>
              <w:rPr>
                <w:rFonts w:ascii="Carlito" w:hAnsi="Carlito"/>
                <w:color w:val="233440"/>
                <w:sz w:val="17"/>
              </w:rPr>
              <w:t>Evolución incremental</w:t>
            </w:r>
          </w:p>
        </w:tc>
        <w:tc>
          <w:tcPr>
            <w:tcW w:type="dxa" w:w="4900"/>
            <w:shd w:fill="FAFBFC"/>
            <w:tcMar>
              <w:top w:w="90" w:type="dxa"/>
              <w:start w:w="90" w:type="dxa"/>
              <w:bottom w:w="90" w:type="dxa"/>
              <w:end w:w="90" w:type="dxa"/>
            </w:tcMar>
            <w:vAlign w:val="top"/>
          </w:tcPr>
          <w:p>
            <w:pPr>
              <w:spacing w:after="0"/>
            </w:pPr>
            <w:r>
              <w:rPr>
                <w:rFonts w:ascii="Carlito" w:hAnsi="Carlito"/>
                <w:color w:val="233440"/>
                <w:sz w:val="17"/>
              </w:rPr>
              <w:t>El MVP cubre el ciclo principal y deja preparado el modelo para reglas y workflows más complejos.</w:t>
            </w:r>
          </w:p>
        </w:tc>
      </w:tr>
    </w:tbl>
    <w:p>
      <w:pPr>
        <w:spacing w:after="0"/>
      </w:pPr>
    </w:p>
    <w:p>
      <w:pPr>
        <w:pStyle w:val="Heading1"/>
      </w:pPr>
      <w:r>
        <w:t>4. Modelo organizacional, roles y permisos</w:t>
      </w:r>
    </w:p>
    <w:p>
      <w:pPr>
        <w:pStyle w:val="Heading2"/>
      </w:pPr>
      <w:r>
        <w:t>4.1 Rol + alcance</w:t>
      </w:r>
    </w:p>
    <w:p>
      <w:pPr>
        <w:spacing w:after="120" w:line="259" w:lineRule="auto"/>
      </w:pPr>
      <w:r>
        <w:rPr>
          <w:rFonts w:ascii="Carlito" w:hAnsi="Carlito"/>
          <w:color w:val="233440"/>
          <w:sz w:val="20"/>
        </w:rPr>
        <w:t>El permiso efectivo se define como la combinación de un rol funcional y un alcance organizacional. El rol responde “qué puede hacer” y el alcance responde “sobre quién puede hacerlo”. Esto evita crear roles distintos para cada sector.</w:t>
      </w:r>
    </w:p>
    <w:p>
      <w:pPr>
        <w:jc w:val="center"/>
      </w:pPr>
      <w:r>
        <w:drawing>
          <wp:inline xmlns:a="http://schemas.openxmlformats.org/drawingml/2006/main" xmlns:pic="http://schemas.openxmlformats.org/drawingml/2006/picture">
            <wp:extent cx="5120640" cy="1782830"/>
            <wp:docPr id="1" name="Picture 1"/>
            <wp:cNvGraphicFramePr>
              <a:graphicFrameLocks noChangeAspect="1"/>
            </wp:cNvGraphicFramePr>
            <a:graphic>
              <a:graphicData uri="http://schemas.openxmlformats.org/drawingml/2006/picture">
                <pic:pic>
                  <pic:nvPicPr>
                    <pic:cNvPr id="0" name="org_scope.png"/>
                    <pic:cNvPicPr/>
                  </pic:nvPicPr>
                  <pic:blipFill>
                    <a:blip r:embed="rId11"/>
                    <a:stretch>
                      <a:fillRect/>
                    </a:stretch>
                  </pic:blipFill>
                  <pic:spPr>
                    <a:xfrm>
                      <a:off x="0" y="0"/>
                      <a:ext cx="5120640" cy="1782830"/>
                    </a:xfrm>
                    <a:prstGeom prst="rect"/>
                  </pic:spPr>
                </pic:pic>
              </a:graphicData>
            </a:graphic>
          </wp:inline>
        </w:drawing>
      </w:r>
    </w:p>
    <w:p>
      <w:pPr>
        <w:spacing w:after="140"/>
        <w:jc w:val="center"/>
      </w:pPr>
      <w:r>
        <w:rPr>
          <w:rFonts w:ascii="Carlito" w:hAnsi="Carlito"/>
          <w:i/>
          <w:color w:val="5A6973"/>
          <w:sz w:val="17"/>
        </w:rPr>
        <w:t>Figura 1. Ejemplo de jerarquía y alcance organizacional.</w:t>
      </w:r>
    </w:p>
    <w:tbl>
      <w:tblPr>
        <w:tblW w:type="auto" w:w="0"/>
        <w:jc w:val="center"/>
        <w:tblLook w:firstColumn="1" w:firstRow="1" w:lastColumn="0" w:lastRow="0" w:noHBand="0" w:noVBand="1" w:val="04A0"/>
      </w:tblPr>
      <w:tblGrid>
        <w:gridCol w:w="10166"/>
      </w:tblGrid>
      <w:tr>
        <w:tc>
          <w:tcPr>
            <w:tcW w:type="dxa" w:w="10166"/>
            <w:shd w:fill="EEF4F8"/>
            <w:tcMar>
              <w:top w:w="130" w:type="dxa"/>
              <w:start w:w="160" w:type="dxa"/>
              <w:bottom w:w="130" w:type="dxa"/>
              <w:end w:w="160" w:type="dxa"/>
            </w:tcMar>
          </w:tcPr>
          <w:p>
            <w:r>
              <w:rPr>
                <w:rFonts w:ascii="Carlito" w:hAnsi="Carlito"/>
                <w:b/>
                <w:color w:val="294C60"/>
                <w:sz w:val="21"/>
              </w:rPr>
              <w:t>Ejemplo</w:t>
              <w:br/>
            </w:r>
            <w:r>
              <w:rPr>
                <w:rFonts w:ascii="Carlito" w:hAnsi="Carlito"/>
                <w:color w:val="233440"/>
                <w:sz w:val="20"/>
              </w:rPr>
              <w:t>Un Encargado de TI con alcance sobre la unidad TI y “incluir descendientes” puede gestionar Soporte, Desarrollo y Ciberseguridad. El Supervisor de Soporte usa permisos similares pero con alcance únicamente sobre la unidad Soporte.</w:t>
            </w:r>
          </w:p>
        </w:tc>
      </w:tr>
    </w:tbl>
    <w:p>
      <w:pPr>
        <w:spacing w:after="0"/>
      </w:pPr>
    </w:p>
    <w:p>
      <w:pPr>
        <w:pStyle w:val="Heading2"/>
      </w:pPr>
      <w:r>
        <w:t>4.2 Roles propuestos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00"/>
            <w:shd w:fill="294C60"/>
            <w:tcMar>
              <w:top w:w="90" w:type="dxa"/>
              <w:start w:w="90" w:type="dxa"/>
              <w:bottom w:w="90" w:type="dxa"/>
              <w:end w:w="90" w:type="dxa"/>
            </w:tcMar>
            <w:vAlign w:val="center"/>
          </w:tcPr>
          <w:p>
            <w:pPr>
              <w:jc w:val="left"/>
            </w:pPr>
            <w:r>
              <w:rPr>
                <w:rFonts w:ascii="Carlito" w:hAnsi="Carlito"/>
                <w:b/>
                <w:color w:val="FFFFFF"/>
                <w:sz w:val="17"/>
              </w:rPr>
              <w:t>Rol</w:t>
            </w:r>
          </w:p>
        </w:tc>
        <w:tc>
          <w:tcPr>
            <w:tcW w:type="dxa" w:w="5200"/>
            <w:shd w:fill="294C60"/>
            <w:tcMar>
              <w:top w:w="90" w:type="dxa"/>
              <w:start w:w="90" w:type="dxa"/>
              <w:bottom w:w="90" w:type="dxa"/>
              <w:end w:w="90" w:type="dxa"/>
            </w:tcMar>
            <w:vAlign w:val="center"/>
          </w:tcPr>
          <w:p>
            <w:pPr>
              <w:jc w:val="left"/>
            </w:pPr>
            <w:r>
              <w:rPr>
                <w:rFonts w:ascii="Carlito" w:hAnsi="Carlito"/>
                <w:b/>
                <w:color w:val="FFFFFF"/>
                <w:sz w:val="17"/>
              </w:rPr>
              <w:t>Responsabilidad principal</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Empleado</w:t>
            </w:r>
          </w:p>
        </w:tc>
        <w:tc>
          <w:tcPr>
            <w:tcW w:type="dxa" w:w="5200"/>
            <w:tcMar>
              <w:top w:w="90" w:type="dxa"/>
              <w:start w:w="90" w:type="dxa"/>
              <w:bottom w:w="90" w:type="dxa"/>
              <w:end w:w="90" w:type="dxa"/>
            </w:tcMar>
            <w:vAlign w:val="top"/>
          </w:tcPr>
          <w:p>
            <w:pPr>
              <w:spacing w:after="0"/>
            </w:pPr>
            <w:r>
              <w:rPr>
                <w:rFonts w:ascii="Carlito" w:hAnsi="Carlito"/>
                <w:color w:val="233440"/>
                <w:sz w:val="17"/>
              </w:rPr>
              <w:t>Opera exclusivamente sobre sus propios saldos, solicitudes, comentarios y adjuntos permitidos.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Supervisor</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Gestiona solicitudes y visualización de personas pertenecientes a una o más unidades asignadas, normalmente sin descendientes.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Encargado</w:t>
            </w:r>
          </w:p>
        </w:tc>
        <w:tc>
          <w:tcPr>
            <w:tcW w:type="dxa" w:w="5200"/>
            <w:tcMar>
              <w:top w:w="90" w:type="dxa"/>
              <w:start w:w="90" w:type="dxa"/>
              <w:bottom w:w="90" w:type="dxa"/>
              <w:end w:w="90" w:type="dxa"/>
            </w:tcMar>
            <w:vAlign w:val="top"/>
          </w:tcPr>
          <w:p>
            <w:pPr>
              <w:spacing w:after="0"/>
            </w:pPr>
            <w:r>
              <w:rPr>
                <w:rFonts w:ascii="Carlito" w:hAnsi="Carlito"/>
                <w:color w:val="233440"/>
                <w:sz w:val="17"/>
              </w:rPr>
              <w:t>Gestiona unidades de mayor nivel y, cuando se configure, todas sus unidades descendientes.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RRHH</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Acceso transversal a la organización, configuración funcional, ajustes de saldo, reportes y resolución de excepciones.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Administrador Técnico</w:t>
            </w:r>
          </w:p>
        </w:tc>
        <w:tc>
          <w:tcPr>
            <w:tcW w:type="dxa" w:w="5200"/>
            <w:tcMar>
              <w:top w:w="90" w:type="dxa"/>
              <w:start w:w="90" w:type="dxa"/>
              <w:bottom w:w="90" w:type="dxa"/>
              <w:end w:w="90" w:type="dxa"/>
            </w:tcMar>
            <w:vAlign w:val="top"/>
          </w:tcPr>
          <w:p>
            <w:pPr>
              <w:spacing w:after="0"/>
            </w:pPr>
            <w:r>
              <w:rPr>
                <w:rFonts w:ascii="Carlito" w:hAnsi="Carlito"/>
                <w:color w:val="233440"/>
                <w:sz w:val="17"/>
              </w:rPr>
              <w:t>Administra parámetros técnicos, integraciones, catálogos técnicos y soporte. No obtiene por defecto acceso al contenido médico ni autoridad de aprobación de RRHH.</w:t>
            </w:r>
          </w:p>
        </w:tc>
      </w:tr>
    </w:tbl>
    <w:p>
      <w:pPr>
        <w:spacing w:after="0"/>
      </w:pPr>
    </w:p>
    <w:p>
      <w:pPr>
        <w:pStyle w:val="Heading2"/>
      </w:pPr>
      <w:r>
        <w:t>4.3 Matriz de permisos del MVP</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350"/>
            <w:shd w:fill="294C60"/>
            <w:tcMar>
              <w:top w:w="90" w:type="dxa"/>
              <w:start w:w="90" w:type="dxa"/>
              <w:bottom w:w="90" w:type="dxa"/>
              <w:end w:w="90" w:type="dxa"/>
            </w:tcMar>
            <w:vAlign w:val="center"/>
          </w:tcPr>
          <w:p>
            <w:pPr>
              <w:jc w:val="left"/>
            </w:pPr>
            <w:r>
              <w:rPr>
                <w:rFonts w:ascii="Carlito" w:hAnsi="Carlito"/>
                <w:b/>
                <w:color w:val="FFFFFF"/>
                <w:sz w:val="15"/>
              </w:rPr>
              <w:t>Acción</w:t>
            </w:r>
          </w:p>
        </w:tc>
        <w:tc>
          <w:tcPr>
            <w:tcW w:type="dxa" w:w="850"/>
            <w:shd w:fill="294C60"/>
            <w:tcMar>
              <w:top w:w="90" w:type="dxa"/>
              <w:start w:w="90" w:type="dxa"/>
              <w:bottom w:w="90" w:type="dxa"/>
              <w:end w:w="90" w:type="dxa"/>
            </w:tcMar>
            <w:vAlign w:val="center"/>
          </w:tcPr>
          <w:p>
            <w:pPr>
              <w:jc w:val="left"/>
            </w:pPr>
            <w:r>
              <w:rPr>
                <w:rFonts w:ascii="Carlito" w:hAnsi="Carlito"/>
                <w:b/>
                <w:color w:val="FFFFFF"/>
                <w:sz w:val="15"/>
              </w:rPr>
              <w:t>Empleado</w:t>
            </w:r>
          </w:p>
        </w:tc>
        <w:tc>
          <w:tcPr>
            <w:tcW w:type="dxa" w:w="900"/>
            <w:shd w:fill="294C60"/>
            <w:tcMar>
              <w:top w:w="90" w:type="dxa"/>
              <w:start w:w="90" w:type="dxa"/>
              <w:bottom w:w="90" w:type="dxa"/>
              <w:end w:w="90" w:type="dxa"/>
            </w:tcMar>
            <w:vAlign w:val="center"/>
          </w:tcPr>
          <w:p>
            <w:pPr>
              <w:jc w:val="left"/>
            </w:pPr>
            <w:r>
              <w:rPr>
                <w:rFonts w:ascii="Carlito" w:hAnsi="Carlito"/>
                <w:b/>
                <w:color w:val="FFFFFF"/>
                <w:sz w:val="15"/>
              </w:rPr>
              <w:t>Supervisor</w:t>
            </w:r>
          </w:p>
        </w:tc>
        <w:tc>
          <w:tcPr>
            <w:tcW w:type="dxa" w:w="950"/>
            <w:shd w:fill="294C60"/>
            <w:tcMar>
              <w:top w:w="90" w:type="dxa"/>
              <w:start w:w="90" w:type="dxa"/>
              <w:bottom w:w="90" w:type="dxa"/>
              <w:end w:w="90" w:type="dxa"/>
            </w:tcMar>
            <w:vAlign w:val="center"/>
          </w:tcPr>
          <w:p>
            <w:pPr>
              <w:jc w:val="left"/>
            </w:pPr>
            <w:r>
              <w:rPr>
                <w:rFonts w:ascii="Carlito" w:hAnsi="Carlito"/>
                <w:b/>
                <w:color w:val="FFFFFF"/>
                <w:sz w:val="15"/>
              </w:rPr>
              <w:t>Encargado</w:t>
            </w:r>
          </w:p>
        </w:tc>
        <w:tc>
          <w:tcPr>
            <w:tcW w:type="dxa" w:w="850"/>
            <w:shd w:fill="294C60"/>
            <w:tcMar>
              <w:top w:w="90" w:type="dxa"/>
              <w:start w:w="90" w:type="dxa"/>
              <w:bottom w:w="90" w:type="dxa"/>
              <w:end w:w="90" w:type="dxa"/>
            </w:tcMar>
            <w:vAlign w:val="center"/>
          </w:tcPr>
          <w:p>
            <w:pPr>
              <w:jc w:val="left"/>
            </w:pPr>
            <w:r>
              <w:rPr>
                <w:rFonts w:ascii="Carlito" w:hAnsi="Carlito"/>
                <w:b/>
                <w:color w:val="FFFFFF"/>
                <w:sz w:val="15"/>
              </w:rPr>
              <w:t>RRHH</w:t>
            </w:r>
          </w:p>
        </w:tc>
        <w:tc>
          <w:tcPr>
            <w:tcW w:type="dxa" w:w="900"/>
            <w:shd w:fill="294C60"/>
            <w:tcMar>
              <w:top w:w="90" w:type="dxa"/>
              <w:start w:w="90" w:type="dxa"/>
              <w:bottom w:w="90" w:type="dxa"/>
              <w:end w:w="90" w:type="dxa"/>
            </w:tcMar>
            <w:vAlign w:val="center"/>
          </w:tcPr>
          <w:p>
            <w:pPr>
              <w:jc w:val="left"/>
            </w:pPr>
            <w:r>
              <w:rPr>
                <w:rFonts w:ascii="Carlito" w:hAnsi="Carlito"/>
                <w:b/>
                <w:color w:val="FFFFFF"/>
                <w:sz w:val="15"/>
              </w:rPr>
              <w:t>Admin técnico</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Ver saldo propio</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c>
          <w:tcPr>
            <w:tcW w:type="dxa" w:w="950"/>
            <w:tcMar>
              <w:top w:w="90" w:type="dxa"/>
              <w:start w:w="90" w:type="dxa"/>
              <w:bottom w:w="90" w:type="dxa"/>
              <w:end w:w="90" w:type="dxa"/>
            </w:tcMar>
            <w:vAlign w:val="top"/>
          </w:tcPr>
          <w:p>
            <w:pPr>
              <w:spacing w:after="0"/>
            </w:pPr>
            <w:r>
              <w:rPr>
                <w:rFonts w:ascii="Carlito" w:hAnsi="Carlito"/>
                <w:color w:val="233440"/>
                <w:sz w:val="15"/>
              </w:rPr>
              <w:t>Sí</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Ver saldo de terceros</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En alcance + descendientes</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Toda la org.</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Solo soporte técnico si se autoriza</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Crear solicitud propia</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c>
          <w:tcPr>
            <w:tcW w:type="dxa" w:w="950"/>
            <w:tcMar>
              <w:top w:w="90" w:type="dxa"/>
              <w:start w:w="90" w:type="dxa"/>
              <w:bottom w:w="90" w:type="dxa"/>
              <w:end w:w="90" w:type="dxa"/>
            </w:tcMar>
            <w:vAlign w:val="top"/>
          </w:tcPr>
          <w:p>
            <w:pPr>
              <w:spacing w:after="0"/>
            </w:pPr>
            <w:r>
              <w:rPr>
                <w:rFonts w:ascii="Carlito" w:hAnsi="Carlito"/>
                <w:color w:val="233440"/>
                <w:sz w:val="15"/>
              </w:rPr>
              <w:t>Sí</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Crear licencia a terceros</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No por defecto</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Aprobar / rechazar</w:t>
            </w:r>
          </w:p>
        </w:tc>
        <w:tc>
          <w:tcPr>
            <w:tcW w:type="dxa" w:w="850"/>
            <w:tcMar>
              <w:top w:w="90" w:type="dxa"/>
              <w:start w:w="90" w:type="dxa"/>
              <w:bottom w:w="90" w:type="dxa"/>
              <w:end w:w="90" w:type="dxa"/>
            </w:tcMar>
            <w:vAlign w:val="top"/>
          </w:tcPr>
          <w:p>
            <w:pPr>
              <w:spacing w:after="0"/>
            </w:pPr>
            <w:r>
              <w:rPr>
                <w:rFonts w:ascii="Carlito" w:hAnsi="Carlito"/>
                <w:color w:val="233440"/>
                <w:sz w:val="15"/>
              </w:rPr>
              <w:t>No</w:t>
            </w:r>
          </w:p>
        </w:tc>
        <w:tc>
          <w:tcPr>
            <w:tcW w:type="dxa" w:w="900"/>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No</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Revocar aprobada</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No</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Solicitar cancelación propia</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c>
          <w:tcPr>
            <w:tcW w:type="dxa" w:w="950"/>
            <w:tcMar>
              <w:top w:w="90" w:type="dxa"/>
              <w:start w:w="90" w:type="dxa"/>
              <w:bottom w:w="90" w:type="dxa"/>
              <w:end w:w="90" w:type="dxa"/>
            </w:tcMar>
            <w:vAlign w:val="top"/>
          </w:tcPr>
          <w:p>
            <w:pPr>
              <w:spacing w:after="0"/>
            </w:pPr>
            <w:r>
              <w:rPr>
                <w:rFonts w:ascii="Carlito" w:hAnsi="Carlito"/>
                <w:color w:val="233440"/>
                <w:sz w:val="15"/>
              </w:rPr>
              <w:t>Sí</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Sí</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Aprobar cancelación</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No</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Agregar comentarios</w:t>
            </w:r>
          </w:p>
        </w:tc>
        <w:tc>
          <w:tcPr>
            <w:tcW w:type="dxa" w:w="850"/>
            <w:tcMar>
              <w:top w:w="90" w:type="dxa"/>
              <w:start w:w="90" w:type="dxa"/>
              <w:bottom w:w="90" w:type="dxa"/>
              <w:end w:w="90" w:type="dxa"/>
            </w:tcMar>
            <w:vAlign w:val="top"/>
          </w:tcPr>
          <w:p>
            <w:pPr>
              <w:spacing w:after="0"/>
            </w:pPr>
            <w:r>
              <w:rPr>
                <w:rFonts w:ascii="Carlito" w:hAnsi="Carlito"/>
                <w:color w:val="233440"/>
                <w:sz w:val="15"/>
              </w:rPr>
              <w:t>Propias</w:t>
            </w:r>
          </w:p>
        </w:tc>
        <w:tc>
          <w:tcPr>
            <w:tcW w:type="dxa" w:w="900"/>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Solo técnicos</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Ver comprobante médico</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Propio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Configurable / normalmente No</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Configurable / normalmente No</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 según función</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No por defecto</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Ajustar saldo</w:t>
            </w:r>
          </w:p>
        </w:tc>
        <w:tc>
          <w:tcPr>
            <w:tcW w:type="dxa" w:w="850"/>
            <w:tcMar>
              <w:top w:w="90" w:type="dxa"/>
              <w:start w:w="90" w:type="dxa"/>
              <w:bottom w:w="90" w:type="dxa"/>
              <w:end w:w="90" w:type="dxa"/>
            </w:tcMar>
            <w:vAlign w:val="top"/>
          </w:tcPr>
          <w:p>
            <w:pPr>
              <w:spacing w:after="0"/>
            </w:pPr>
            <w:r>
              <w:rPr>
                <w:rFonts w:ascii="Carlito" w:hAnsi="Carlito"/>
                <w:color w:val="233440"/>
                <w:sz w:val="15"/>
              </w:rPr>
              <w:t>No</w:t>
            </w:r>
          </w:p>
        </w:tc>
        <w:tc>
          <w:tcPr>
            <w:tcW w:type="dxa" w:w="900"/>
            <w:tcMar>
              <w:top w:w="90" w:type="dxa"/>
              <w:start w:w="90" w:type="dxa"/>
              <w:bottom w:w="90" w:type="dxa"/>
              <w:end w:w="90" w:type="dxa"/>
            </w:tcMar>
            <w:vAlign w:val="top"/>
          </w:tcPr>
          <w:p>
            <w:pPr>
              <w:spacing w:after="0"/>
            </w:pPr>
            <w:r>
              <w:rPr>
                <w:rFonts w:ascii="Carlito" w:hAnsi="Carlito"/>
                <w:color w:val="233440"/>
                <w:sz w:val="15"/>
              </w:rPr>
              <w:t>Configurable</w:t>
            </w:r>
          </w:p>
        </w:tc>
        <w:tc>
          <w:tcPr>
            <w:tcW w:type="dxa" w:w="950"/>
            <w:tcMar>
              <w:top w:w="90" w:type="dxa"/>
              <w:start w:w="90" w:type="dxa"/>
              <w:bottom w:w="90" w:type="dxa"/>
              <w:end w:w="90" w:type="dxa"/>
            </w:tcMar>
            <w:vAlign w:val="top"/>
          </w:tcPr>
          <w:p>
            <w:pPr>
              <w:spacing w:after="0"/>
            </w:pPr>
            <w:r>
              <w:rPr>
                <w:rFonts w:ascii="Carlito" w:hAnsi="Carlito"/>
                <w:color w:val="233440"/>
                <w:sz w:val="15"/>
              </w:rPr>
              <w:t>Configurable</w:t>
            </w:r>
          </w:p>
        </w:tc>
        <w:tc>
          <w:tcPr>
            <w:tcW w:type="dxa" w:w="850"/>
            <w:tcMar>
              <w:top w:w="90" w:type="dxa"/>
              <w:start w:w="90" w:type="dxa"/>
              <w:bottom w:w="90" w:type="dxa"/>
              <w:end w:w="90" w:type="dxa"/>
            </w:tcMar>
            <w:vAlign w:val="top"/>
          </w:tcPr>
          <w:p>
            <w:pPr>
              <w:spacing w:after="0"/>
            </w:pPr>
            <w:r>
              <w:rPr>
                <w:rFonts w:ascii="Carlito" w:hAnsi="Carlito"/>
                <w:color w:val="233440"/>
                <w:sz w:val="15"/>
              </w:rPr>
              <w:t>Sí</w:t>
            </w:r>
          </w:p>
        </w:tc>
        <w:tc>
          <w:tcPr>
            <w:tcW w:type="dxa" w:w="900"/>
            <w:tcMar>
              <w:top w:w="90" w:type="dxa"/>
              <w:start w:w="90" w:type="dxa"/>
              <w:bottom w:w="90" w:type="dxa"/>
              <w:end w:w="90" w:type="dxa"/>
            </w:tcMar>
            <w:vAlign w:val="top"/>
          </w:tcPr>
          <w:p>
            <w:pPr>
              <w:spacing w:after="0"/>
            </w:pPr>
            <w:r>
              <w:rPr>
                <w:rFonts w:ascii="Carlito" w:hAnsi="Carlito"/>
                <w:color w:val="233440"/>
                <w:sz w:val="15"/>
              </w:rPr>
              <w:t>No</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Configurar tipos y políticas</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No</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Soporte técnico sin decisión funcional</w:t>
            </w:r>
          </w:p>
        </w:tc>
      </w:tr>
      <w:tr>
        <w:trPr>
          <w:cantSplit/>
        </w:trPr>
        <w:tc>
          <w:tcPr>
            <w:tcW w:type="dxa" w:w="2350"/>
            <w:tcMar>
              <w:top w:w="90" w:type="dxa"/>
              <w:start w:w="90" w:type="dxa"/>
              <w:bottom w:w="90" w:type="dxa"/>
              <w:end w:w="90" w:type="dxa"/>
            </w:tcMar>
            <w:vAlign w:val="top"/>
          </w:tcPr>
          <w:p>
            <w:pPr>
              <w:spacing w:after="0"/>
            </w:pPr>
            <w:r>
              <w:rPr>
                <w:rFonts w:ascii="Carlito" w:hAnsi="Carlito"/>
                <w:color w:val="233440"/>
                <w:sz w:val="15"/>
              </w:rPr>
              <w:t>Configurar unidades/alcances</w:t>
            </w:r>
          </w:p>
        </w:tc>
        <w:tc>
          <w:tcPr>
            <w:tcW w:type="dxa" w:w="850"/>
            <w:tcMar>
              <w:top w:w="90" w:type="dxa"/>
              <w:start w:w="90" w:type="dxa"/>
              <w:bottom w:w="90" w:type="dxa"/>
              <w:end w:w="90" w:type="dxa"/>
            </w:tcMar>
            <w:vAlign w:val="top"/>
          </w:tcPr>
          <w:p>
            <w:pPr>
              <w:spacing w:after="0"/>
            </w:pPr>
            <w:r>
              <w:rPr>
                <w:rFonts w:ascii="Carlito" w:hAnsi="Carlito"/>
                <w:color w:val="233440"/>
                <w:sz w:val="15"/>
              </w:rPr>
              <w:t>No</w:t>
            </w:r>
          </w:p>
        </w:tc>
        <w:tc>
          <w:tcPr>
            <w:tcW w:type="dxa" w:w="900"/>
            <w:tcMar>
              <w:top w:w="90" w:type="dxa"/>
              <w:start w:w="90" w:type="dxa"/>
              <w:bottom w:w="90" w:type="dxa"/>
              <w:end w:w="90" w:type="dxa"/>
            </w:tcMar>
            <w:vAlign w:val="top"/>
          </w:tcPr>
          <w:p>
            <w:pPr>
              <w:spacing w:after="0"/>
            </w:pPr>
            <w:r>
              <w:rPr>
                <w:rFonts w:ascii="Carlito" w:hAnsi="Carlito"/>
                <w:color w:val="233440"/>
                <w:sz w:val="15"/>
              </w:rPr>
              <w:t>No</w:t>
            </w:r>
          </w:p>
        </w:tc>
        <w:tc>
          <w:tcPr>
            <w:tcW w:type="dxa" w:w="950"/>
            <w:tcMar>
              <w:top w:w="90" w:type="dxa"/>
              <w:start w:w="90" w:type="dxa"/>
              <w:bottom w:w="90" w:type="dxa"/>
              <w:end w:w="90" w:type="dxa"/>
            </w:tcMar>
            <w:vAlign w:val="top"/>
          </w:tcPr>
          <w:p>
            <w:pPr>
              <w:spacing w:after="0"/>
            </w:pPr>
            <w:r>
              <w:rPr>
                <w:rFonts w:ascii="Carlito" w:hAnsi="Carlito"/>
                <w:color w:val="233440"/>
                <w:sz w:val="15"/>
              </w:rPr>
              <w:t>No</w:t>
            </w:r>
          </w:p>
        </w:tc>
        <w:tc>
          <w:tcPr>
            <w:tcW w:type="dxa" w:w="850"/>
            <w:tcMar>
              <w:top w:w="90" w:type="dxa"/>
              <w:start w:w="90" w:type="dxa"/>
              <w:bottom w:w="90" w:type="dxa"/>
              <w:end w:w="90" w:type="dxa"/>
            </w:tcMar>
            <w:vAlign w:val="top"/>
          </w:tcPr>
          <w:p>
            <w:pPr>
              <w:spacing w:after="0"/>
            </w:pPr>
            <w:r>
              <w:rPr>
                <w:rFonts w:ascii="Carlito" w:hAnsi="Carlito"/>
                <w:color w:val="233440"/>
                <w:sz w:val="15"/>
              </w:rPr>
              <w:t>Sí/Delegado</w:t>
            </w:r>
          </w:p>
        </w:tc>
        <w:tc>
          <w:tcPr>
            <w:tcW w:type="dxa" w:w="900"/>
            <w:tcMar>
              <w:top w:w="90" w:type="dxa"/>
              <w:start w:w="90" w:type="dxa"/>
              <w:bottom w:w="90" w:type="dxa"/>
              <w:end w:w="90" w:type="dxa"/>
            </w:tcMar>
            <w:vAlign w:val="top"/>
          </w:tcPr>
          <w:p>
            <w:pPr>
              <w:spacing w:after="0"/>
            </w:pPr>
            <w:r>
              <w:rPr>
                <w:rFonts w:ascii="Carlito" w:hAnsi="Carlito"/>
                <w:color w:val="233440"/>
                <w:sz w:val="15"/>
              </w:rPr>
              <w:t>Sí técnico</w:t>
            </w:r>
          </w:p>
        </w:tc>
      </w:tr>
      <w:tr>
        <w:trPr>
          <w:cantSplit/>
        </w:trPr>
        <w:tc>
          <w:tcPr>
            <w:tcW w:type="dxa" w:w="2350"/>
            <w:shd w:fill="FAFBFC"/>
            <w:tcMar>
              <w:top w:w="90" w:type="dxa"/>
              <w:start w:w="90" w:type="dxa"/>
              <w:bottom w:w="90" w:type="dxa"/>
              <w:end w:w="90" w:type="dxa"/>
            </w:tcMar>
            <w:vAlign w:val="top"/>
          </w:tcPr>
          <w:p>
            <w:pPr>
              <w:spacing w:after="0"/>
            </w:pPr>
            <w:r>
              <w:rPr>
                <w:rFonts w:ascii="Carlito" w:hAnsi="Carlito"/>
                <w:color w:val="233440"/>
                <w:sz w:val="15"/>
              </w:rPr>
              <w:t>Ver auditoría</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Propia limitada</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950"/>
            <w:shd w:fill="FAFBFC"/>
            <w:tcMar>
              <w:top w:w="90" w:type="dxa"/>
              <w:start w:w="90" w:type="dxa"/>
              <w:bottom w:w="90" w:type="dxa"/>
              <w:end w:w="90" w:type="dxa"/>
            </w:tcMar>
            <w:vAlign w:val="top"/>
          </w:tcPr>
          <w:p>
            <w:pPr>
              <w:spacing w:after="0"/>
            </w:pPr>
            <w:r>
              <w:rPr>
                <w:rFonts w:ascii="Carlito" w:hAnsi="Carlito"/>
                <w:color w:val="233440"/>
                <w:sz w:val="15"/>
              </w:rPr>
              <w:t>En alcance</w:t>
            </w:r>
          </w:p>
        </w:tc>
        <w:tc>
          <w:tcPr>
            <w:tcW w:type="dxa" w:w="850"/>
            <w:shd w:fill="FAFBFC"/>
            <w:tcMar>
              <w:top w:w="90" w:type="dxa"/>
              <w:start w:w="90" w:type="dxa"/>
              <w:bottom w:w="90" w:type="dxa"/>
              <w:end w:w="90" w:type="dxa"/>
            </w:tcMar>
            <w:vAlign w:val="top"/>
          </w:tcPr>
          <w:p>
            <w:pPr>
              <w:spacing w:after="0"/>
            </w:pPr>
            <w:r>
              <w:rPr>
                <w:rFonts w:ascii="Carlito" w:hAnsi="Carlito"/>
                <w:color w:val="233440"/>
                <w:sz w:val="15"/>
              </w:rPr>
              <w:t>Sí</w:t>
            </w:r>
          </w:p>
        </w:tc>
        <w:tc>
          <w:tcPr>
            <w:tcW w:type="dxa" w:w="900"/>
            <w:shd w:fill="FAFBFC"/>
            <w:tcMar>
              <w:top w:w="90" w:type="dxa"/>
              <w:start w:w="90" w:type="dxa"/>
              <w:bottom w:w="90" w:type="dxa"/>
              <w:end w:w="90" w:type="dxa"/>
            </w:tcMar>
            <w:vAlign w:val="top"/>
          </w:tcPr>
          <w:p>
            <w:pPr>
              <w:spacing w:after="0"/>
            </w:pPr>
            <w:r>
              <w:rPr>
                <w:rFonts w:ascii="Carlito" w:hAnsi="Carlito"/>
                <w:color w:val="233440"/>
                <w:sz w:val="15"/>
              </w:rPr>
              <w:t>Sí técnica</w:t>
            </w:r>
          </w:p>
        </w:tc>
      </w:tr>
    </w:tbl>
    <w:p>
      <w:pPr>
        <w:spacing w:after="0"/>
      </w:pPr>
    </w:p>
    <w:p>
      <w:pPr>
        <w:pStyle w:val="SmallNote"/>
      </w:pPr>
      <w:r>
        <w:t>* Las acciones de alta manual, revocación y ajuste de saldo pueden habilitarse o deshabilitarse por política y rol. Todas requieren motivo obligatorio y auditoría.</w:t>
      </w:r>
    </w:p>
    <w:p>
      <w:pPr>
        <w:pStyle w:val="Heading2"/>
      </w:pPr>
      <w:r>
        <w:t>4.4 Alcance y pertenencia</w:t>
      </w:r>
    </w:p>
    <w:p>
      <w:pPr>
        <w:pStyle w:val="ListBullet"/>
        <w:spacing w:after="60"/>
      </w:pPr>
      <w:r>
        <w:rPr>
          <w:rFonts w:ascii="Carlito" w:hAnsi="Carlito"/>
          <w:color w:val="233440"/>
          <w:sz w:val="20"/>
        </w:rPr>
        <w:t>Una persona puede pertenecer a una unidad principal y, si fuera necesario, a unidades secundarias.</w:t>
      </w:r>
    </w:p>
    <w:p>
      <w:pPr>
        <w:pStyle w:val="ListBullet"/>
        <w:spacing w:after="60"/>
      </w:pPr>
      <w:r>
        <w:rPr>
          <w:rFonts w:ascii="Carlito" w:hAnsi="Carlito"/>
          <w:color w:val="233440"/>
          <w:sz w:val="20"/>
        </w:rPr>
        <w:t>Los alcances se asignan explícitamente: unidad raíz + indicador de incluir descendientes.</w:t>
      </w:r>
    </w:p>
    <w:p>
      <w:pPr>
        <w:pStyle w:val="ListBullet"/>
        <w:spacing w:after="60"/>
      </w:pPr>
      <w:r>
        <w:rPr>
          <w:rFonts w:ascii="Carlito" w:hAnsi="Carlito"/>
          <w:color w:val="233440"/>
          <w:sz w:val="20"/>
        </w:rPr>
        <w:t>La pertenencia organizacional puede administrarse en la aplicación o sincronizarse parcialmente desde Entra ID/Graph si la organización ya mantiene grupos confiables.</w:t>
      </w:r>
    </w:p>
    <w:p>
      <w:pPr>
        <w:pStyle w:val="ListBullet"/>
        <w:spacing w:after="60"/>
      </w:pPr>
      <w:r>
        <w:rPr>
          <w:rFonts w:ascii="Carlito" w:hAnsi="Carlito"/>
          <w:color w:val="233440"/>
          <w:sz w:val="20"/>
        </w:rPr>
        <w:t>Las decisiones de permisos se calculan en backend y se cachean con invalidación cuando cambia la estructura.</w:t>
      </w:r>
    </w:p>
    <w:p>
      <w:pPr>
        <w:pStyle w:val="Heading1"/>
      </w:pPr>
      <w:r>
        <w:t>5. Reglas de negocio configurables</w:t>
      </w:r>
    </w:p>
    <w:p>
      <w:pPr>
        <w:spacing w:after="120" w:line="259" w:lineRule="auto"/>
      </w:pPr>
      <w:r>
        <w:rPr>
          <w:rFonts w:ascii="Carlito" w:hAnsi="Carlito"/>
          <w:color w:val="233440"/>
          <w:sz w:val="20"/>
        </w:rPr>
        <w:t>La variabilidad del negocio debe resolverse mediante un motor de políticas. Cada tipo de licencia tendrá una política versionada con fecha de vigencia. Una solicitud conserva la versión efectiva utilizada al momento de su creación/aprobación, evitando que un cambio posterior altere retrospectivamente cálculos históricos.</w:t>
      </w:r>
    </w:p>
    <w:p>
      <w:pPr>
        <w:pStyle w:val="Heading2"/>
      </w:pPr>
      <w:r>
        <w:t>5.1 Parámetros configurables por tipo de licencia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00"/>
            <w:shd w:fill="294C60"/>
            <w:tcMar>
              <w:top w:w="90" w:type="dxa"/>
              <w:start w:w="90" w:type="dxa"/>
              <w:bottom w:w="90" w:type="dxa"/>
              <w:end w:w="90" w:type="dxa"/>
            </w:tcMar>
            <w:vAlign w:val="center"/>
          </w:tcPr>
          <w:p>
            <w:pPr>
              <w:jc w:val="left"/>
            </w:pPr>
            <w:r>
              <w:rPr>
                <w:rFonts w:ascii="Carlito" w:hAnsi="Carlito"/>
                <w:b/>
                <w:color w:val="FFFFFF"/>
                <w:sz w:val="17"/>
              </w:rPr>
              <w:t>Categoría</w:t>
            </w:r>
          </w:p>
        </w:tc>
        <w:tc>
          <w:tcPr>
            <w:tcW w:type="dxa" w:w="5000"/>
            <w:shd w:fill="294C60"/>
            <w:tcMar>
              <w:top w:w="90" w:type="dxa"/>
              <w:start w:w="90" w:type="dxa"/>
              <w:bottom w:w="90" w:type="dxa"/>
              <w:end w:w="90" w:type="dxa"/>
            </w:tcMar>
            <w:vAlign w:val="center"/>
          </w:tcPr>
          <w:p>
            <w:pPr>
              <w:jc w:val="left"/>
            </w:pPr>
            <w:r>
              <w:rPr>
                <w:rFonts w:ascii="Carlito" w:hAnsi="Carlito"/>
                <w:b/>
                <w:color w:val="FFFFFF"/>
                <w:sz w:val="17"/>
              </w:rPr>
              <w:t>Parámetros propuestos</w:t>
            </w:r>
          </w:p>
        </w:tc>
      </w:tr>
      <w:tr>
        <w:trPr>
          <w:cantSplit/>
        </w:trPr>
        <w:tc>
          <w:tcPr>
            <w:tcW w:type="dxa" w:w="1800"/>
            <w:tcMar>
              <w:top w:w="90" w:type="dxa"/>
              <w:start w:w="90" w:type="dxa"/>
              <w:bottom w:w="90" w:type="dxa"/>
              <w:end w:w="90" w:type="dxa"/>
            </w:tcMar>
            <w:vAlign w:val="top"/>
          </w:tcPr>
          <w:p>
            <w:pPr>
              <w:spacing w:after="0"/>
            </w:pPr>
            <w:r>
              <w:rPr>
                <w:rFonts w:ascii="Carlito" w:hAnsi="Carlito"/>
                <w:color w:val="233440"/>
                <w:sz w:val="17"/>
              </w:rPr>
              <w:t>Cómputo de tiempo</w:t>
            </w:r>
          </w:p>
        </w:tc>
        <w:tc>
          <w:tcPr>
            <w:tcW w:type="dxa" w:w="5000"/>
            <w:tcMar>
              <w:top w:w="90" w:type="dxa"/>
              <w:start w:w="90" w:type="dxa"/>
              <w:bottom w:w="90" w:type="dxa"/>
              <w:end w:w="90" w:type="dxa"/>
            </w:tcMar>
            <w:vAlign w:val="top"/>
          </w:tcPr>
          <w:p>
            <w:pPr>
              <w:spacing w:after="0"/>
            </w:pPr>
            <w:r>
              <w:rPr>
                <w:rFonts w:ascii="Carlito" w:hAnsi="Carlito"/>
                <w:color w:val="233440"/>
                <w:sz w:val="17"/>
              </w:rPr>
              <w:t>Días hábiles o corridos; incluir/excluir sábados; incluir/excluir domingos; calendario de feriados; medio día AM/PM; horas si se habilita en futuro.</w:t>
            </w:r>
          </w:p>
        </w:tc>
      </w:tr>
      <w:tr>
        <w:trPr>
          <w:cantSplit/>
        </w:trPr>
        <w:tc>
          <w:tcPr>
            <w:tcW w:type="dxa" w:w="1800"/>
            <w:shd w:fill="FAFBFC"/>
            <w:tcMar>
              <w:top w:w="90" w:type="dxa"/>
              <w:start w:w="90" w:type="dxa"/>
              <w:bottom w:w="90" w:type="dxa"/>
              <w:end w:w="90" w:type="dxa"/>
            </w:tcMar>
            <w:vAlign w:val="top"/>
          </w:tcPr>
          <w:p>
            <w:pPr>
              <w:spacing w:after="0"/>
            </w:pPr>
            <w:r>
              <w:rPr>
                <w:rFonts w:ascii="Carlito" w:hAnsi="Carlito"/>
                <w:color w:val="233440"/>
                <w:sz w:val="17"/>
              </w:rPr>
              <w:t>Solapamientos</w:t>
            </w:r>
          </w:p>
        </w:tc>
        <w:tc>
          <w:tcPr>
            <w:tcW w:type="dxa" w:w="5000"/>
            <w:shd w:fill="FAFBFC"/>
            <w:tcMar>
              <w:top w:w="90" w:type="dxa"/>
              <w:start w:w="90" w:type="dxa"/>
              <w:bottom w:w="90" w:type="dxa"/>
              <w:end w:w="90" w:type="dxa"/>
            </w:tcMar>
            <w:vAlign w:val="top"/>
          </w:tcPr>
          <w:p>
            <w:pPr>
              <w:spacing w:after="0"/>
            </w:pPr>
            <w:r>
              <w:rPr>
                <w:rFonts w:ascii="Carlito" w:hAnsi="Carlito"/>
                <w:color w:val="233440"/>
                <w:sz w:val="17"/>
              </w:rPr>
              <w:t>Prohibir, advertir o permitir; estados considerados para detectar conflicto; excepción por rol.</w:t>
            </w:r>
          </w:p>
        </w:tc>
      </w:tr>
      <w:tr>
        <w:trPr>
          <w:cantSplit/>
        </w:trPr>
        <w:tc>
          <w:tcPr>
            <w:tcW w:type="dxa" w:w="1800"/>
            <w:tcMar>
              <w:top w:w="90" w:type="dxa"/>
              <w:start w:w="90" w:type="dxa"/>
              <w:bottom w:w="90" w:type="dxa"/>
              <w:end w:w="90" w:type="dxa"/>
            </w:tcMar>
            <w:vAlign w:val="top"/>
          </w:tcPr>
          <w:p>
            <w:pPr>
              <w:spacing w:after="0"/>
            </w:pPr>
            <w:r>
              <w:rPr>
                <w:rFonts w:ascii="Carlito" w:hAnsi="Carlito"/>
                <w:color w:val="233440"/>
                <w:sz w:val="17"/>
              </w:rPr>
              <w:t>Saldo</w:t>
            </w:r>
          </w:p>
        </w:tc>
        <w:tc>
          <w:tcPr>
            <w:tcW w:type="dxa" w:w="5000"/>
            <w:tcMar>
              <w:top w:w="90" w:type="dxa"/>
              <w:start w:w="90" w:type="dxa"/>
              <w:bottom w:w="90" w:type="dxa"/>
              <w:end w:w="90" w:type="dxa"/>
            </w:tcMar>
            <w:vAlign w:val="top"/>
          </w:tcPr>
          <w:p>
            <w:pPr>
              <w:spacing w:after="0"/>
            </w:pPr>
            <w:r>
              <w:rPr>
                <w:rFonts w:ascii="Carlito" w:hAnsi="Carlito"/>
                <w:color w:val="233440"/>
                <w:sz w:val="17"/>
              </w:rPr>
              <w:t>Consume saldo o no; bucket asociado; permitir saldo negativo; límite negativo; reservar saldo al enviar; momento de consumo.</w:t>
            </w:r>
          </w:p>
        </w:tc>
      </w:tr>
      <w:tr>
        <w:trPr>
          <w:cantSplit/>
        </w:trPr>
        <w:tc>
          <w:tcPr>
            <w:tcW w:type="dxa" w:w="1800"/>
            <w:shd w:fill="FAFBFC"/>
            <w:tcMar>
              <w:top w:w="90" w:type="dxa"/>
              <w:start w:w="90" w:type="dxa"/>
              <w:bottom w:w="90" w:type="dxa"/>
              <w:end w:w="90" w:type="dxa"/>
            </w:tcMar>
            <w:vAlign w:val="top"/>
          </w:tcPr>
          <w:p>
            <w:pPr>
              <w:spacing w:after="0"/>
            </w:pPr>
            <w:r>
              <w:rPr>
                <w:rFonts w:ascii="Carlito" w:hAnsi="Carlito"/>
                <w:color w:val="233440"/>
                <w:sz w:val="17"/>
              </w:rPr>
              <w:t>Anticipación</w:t>
            </w:r>
          </w:p>
        </w:tc>
        <w:tc>
          <w:tcPr>
            <w:tcW w:type="dxa" w:w="5000"/>
            <w:shd w:fill="FAFBFC"/>
            <w:tcMar>
              <w:top w:w="90" w:type="dxa"/>
              <w:start w:w="90" w:type="dxa"/>
              <w:bottom w:w="90" w:type="dxa"/>
              <w:end w:w="90" w:type="dxa"/>
            </w:tcMar>
            <w:vAlign w:val="top"/>
          </w:tcPr>
          <w:p>
            <w:pPr>
              <w:spacing w:after="0"/>
            </w:pPr>
            <w:r>
              <w:rPr>
                <w:rFonts w:ascii="Carlito" w:hAnsi="Carlito"/>
                <w:color w:val="233440"/>
                <w:sz w:val="17"/>
              </w:rPr>
              <w:t>Mínimo y máximo de días de anticipación; permitir retroactivas; excepciones por tipo.</w:t>
            </w:r>
          </w:p>
        </w:tc>
      </w:tr>
      <w:tr>
        <w:trPr>
          <w:cantSplit/>
        </w:trPr>
        <w:tc>
          <w:tcPr>
            <w:tcW w:type="dxa" w:w="1800"/>
            <w:tcMar>
              <w:top w:w="90" w:type="dxa"/>
              <w:start w:w="90" w:type="dxa"/>
              <w:bottom w:w="90" w:type="dxa"/>
              <w:end w:w="90" w:type="dxa"/>
            </w:tcMar>
            <w:vAlign w:val="top"/>
          </w:tcPr>
          <w:p>
            <w:pPr>
              <w:spacing w:after="0"/>
            </w:pPr>
            <w:r>
              <w:rPr>
                <w:rFonts w:ascii="Carlito" w:hAnsi="Carlito"/>
                <w:color w:val="233440"/>
                <w:sz w:val="17"/>
              </w:rPr>
              <w:t>Duración</w:t>
            </w:r>
          </w:p>
        </w:tc>
        <w:tc>
          <w:tcPr>
            <w:tcW w:type="dxa" w:w="5000"/>
            <w:tcMar>
              <w:top w:w="90" w:type="dxa"/>
              <w:start w:w="90" w:type="dxa"/>
              <w:bottom w:w="90" w:type="dxa"/>
              <w:end w:w="90" w:type="dxa"/>
            </w:tcMar>
            <w:vAlign w:val="top"/>
          </w:tcPr>
          <w:p>
            <w:pPr>
              <w:spacing w:after="0"/>
            </w:pPr>
            <w:r>
              <w:rPr>
                <w:rFonts w:ascii="Carlito" w:hAnsi="Carlito"/>
                <w:color w:val="233440"/>
                <w:sz w:val="17"/>
              </w:rPr>
              <w:t>Mínimo por solicitud; máximo consecutivo; máximo anual; fraccionamiento permitido.</w:t>
            </w:r>
          </w:p>
        </w:tc>
      </w:tr>
      <w:tr>
        <w:trPr>
          <w:cantSplit/>
        </w:trPr>
        <w:tc>
          <w:tcPr>
            <w:tcW w:type="dxa" w:w="1800"/>
            <w:shd w:fill="FAFBFC"/>
            <w:tcMar>
              <w:top w:w="90" w:type="dxa"/>
              <w:start w:w="90" w:type="dxa"/>
              <w:bottom w:w="90" w:type="dxa"/>
              <w:end w:w="90" w:type="dxa"/>
            </w:tcMar>
            <w:vAlign w:val="top"/>
          </w:tcPr>
          <w:p>
            <w:pPr>
              <w:spacing w:after="0"/>
            </w:pPr>
            <w:r>
              <w:rPr>
                <w:rFonts w:ascii="Carlito" w:hAnsi="Carlito"/>
                <w:color w:val="233440"/>
                <w:sz w:val="17"/>
              </w:rPr>
              <w:t>Aprobación</w:t>
            </w:r>
          </w:p>
        </w:tc>
        <w:tc>
          <w:tcPr>
            <w:tcW w:type="dxa" w:w="5000"/>
            <w:shd w:fill="FAFBFC"/>
            <w:tcMar>
              <w:top w:w="90" w:type="dxa"/>
              <w:start w:w="90" w:type="dxa"/>
              <w:bottom w:w="90" w:type="dxa"/>
              <w:end w:w="90" w:type="dxa"/>
            </w:tcMar>
            <w:vAlign w:val="top"/>
          </w:tcPr>
          <w:p>
            <w:pPr>
              <w:spacing w:after="0"/>
            </w:pPr>
            <w:r>
              <w:rPr>
                <w:rFonts w:ascii="Carlito" w:hAnsi="Carlito"/>
                <w:color w:val="233440"/>
                <w:sz w:val="17"/>
              </w:rPr>
              <w:t>Requiere aprobación; cantidad de niveles; supervisor directo, encargado, RRHH; secuencial/paralelo; autoaprobación bajo condiciones futuras.</w:t>
            </w:r>
          </w:p>
        </w:tc>
      </w:tr>
      <w:tr>
        <w:trPr>
          <w:cantSplit/>
        </w:trPr>
        <w:tc>
          <w:tcPr>
            <w:tcW w:type="dxa" w:w="1800"/>
            <w:tcMar>
              <w:top w:w="90" w:type="dxa"/>
              <w:start w:w="90" w:type="dxa"/>
              <w:bottom w:w="90" w:type="dxa"/>
              <w:end w:w="90" w:type="dxa"/>
            </w:tcMar>
            <w:vAlign w:val="top"/>
          </w:tcPr>
          <w:p>
            <w:pPr>
              <w:spacing w:after="0"/>
            </w:pPr>
            <w:r>
              <w:rPr>
                <w:rFonts w:ascii="Carlito" w:hAnsi="Carlito"/>
                <w:color w:val="233440"/>
                <w:sz w:val="17"/>
              </w:rPr>
              <w:t>Cancelación</w:t>
            </w:r>
          </w:p>
        </w:tc>
        <w:tc>
          <w:tcPr>
            <w:tcW w:type="dxa" w:w="5000"/>
            <w:tcMar>
              <w:top w:w="90" w:type="dxa"/>
              <w:start w:w="90" w:type="dxa"/>
              <w:bottom w:w="90" w:type="dxa"/>
              <w:end w:w="90" w:type="dxa"/>
            </w:tcMar>
            <w:vAlign w:val="top"/>
          </w:tcPr>
          <w:p>
            <w:pPr>
              <w:spacing w:after="0"/>
            </w:pPr>
            <w:r>
              <w:rPr>
                <w:rFonts w:ascii="Carlito" w:hAnsi="Carlito"/>
                <w:color w:val="233440"/>
                <w:sz w:val="17"/>
              </w:rPr>
              <w:t>Hasta cuándo puede solicitarse; requiere aprobación; devolución de saldo; cancelación parcial futura.</w:t>
            </w:r>
          </w:p>
        </w:tc>
      </w:tr>
      <w:tr>
        <w:trPr>
          <w:cantSplit/>
        </w:trPr>
        <w:tc>
          <w:tcPr>
            <w:tcW w:type="dxa" w:w="1800"/>
            <w:shd w:fill="FAFBFC"/>
            <w:tcMar>
              <w:top w:w="90" w:type="dxa"/>
              <w:start w:w="90" w:type="dxa"/>
              <w:bottom w:w="90" w:type="dxa"/>
              <w:end w:w="90" w:type="dxa"/>
            </w:tcMar>
            <w:vAlign w:val="top"/>
          </w:tcPr>
          <w:p>
            <w:pPr>
              <w:spacing w:after="0"/>
            </w:pPr>
            <w:r>
              <w:rPr>
                <w:rFonts w:ascii="Carlito" w:hAnsi="Carlito"/>
                <w:color w:val="233440"/>
                <w:sz w:val="17"/>
              </w:rPr>
              <w:t>Adjuntos</w:t>
            </w:r>
          </w:p>
        </w:tc>
        <w:tc>
          <w:tcPr>
            <w:tcW w:type="dxa" w:w="5000"/>
            <w:shd w:fill="FAFBFC"/>
            <w:tcMar>
              <w:top w:w="90" w:type="dxa"/>
              <w:start w:w="90" w:type="dxa"/>
              <w:bottom w:w="90" w:type="dxa"/>
              <w:end w:w="90" w:type="dxa"/>
            </w:tcMar>
            <w:vAlign w:val="top"/>
          </w:tcPr>
          <w:p>
            <w:pPr>
              <w:spacing w:after="0"/>
            </w:pPr>
            <w:r>
              <w:rPr>
                <w:rFonts w:ascii="Carlito" w:hAnsi="Carlito"/>
                <w:color w:val="233440"/>
                <w:sz w:val="17"/>
              </w:rPr>
              <w:t>Obligatorio/opcional; a partir de N días; tipos MIME; tamaño máximo; clasificación y visibilidad.</w:t>
            </w:r>
          </w:p>
        </w:tc>
      </w:tr>
      <w:tr>
        <w:trPr>
          <w:cantSplit/>
        </w:trPr>
        <w:tc>
          <w:tcPr>
            <w:tcW w:type="dxa" w:w="1800"/>
            <w:tcMar>
              <w:top w:w="90" w:type="dxa"/>
              <w:start w:w="90" w:type="dxa"/>
              <w:bottom w:w="90" w:type="dxa"/>
              <w:end w:w="90" w:type="dxa"/>
            </w:tcMar>
            <w:vAlign w:val="top"/>
          </w:tcPr>
          <w:p>
            <w:pPr>
              <w:spacing w:after="0"/>
            </w:pPr>
            <w:r>
              <w:rPr>
                <w:rFonts w:ascii="Carlito" w:hAnsi="Carlito"/>
                <w:color w:val="233440"/>
                <w:sz w:val="17"/>
              </w:rPr>
              <w:t>Capacidad del equipo</w:t>
            </w:r>
          </w:p>
        </w:tc>
        <w:tc>
          <w:tcPr>
            <w:tcW w:type="dxa" w:w="5000"/>
            <w:tcMar>
              <w:top w:w="90" w:type="dxa"/>
              <w:start w:w="90" w:type="dxa"/>
              <w:bottom w:w="90" w:type="dxa"/>
              <w:end w:w="90" w:type="dxa"/>
            </w:tcMar>
            <w:vAlign w:val="top"/>
          </w:tcPr>
          <w:p>
            <w:pPr>
              <w:spacing w:after="0"/>
            </w:pPr>
            <w:r>
              <w:rPr>
                <w:rFonts w:ascii="Carlito" w:hAnsi="Carlito"/>
                <w:color w:val="233440"/>
                <w:sz w:val="17"/>
              </w:rPr>
              <w:t>Máximo de ausencias simultáneas por unidad; mínimo de personal disponible; comportamiento: advertir o bloquear.</w:t>
            </w:r>
          </w:p>
        </w:tc>
      </w:tr>
      <w:tr>
        <w:trPr>
          <w:cantSplit/>
        </w:trPr>
        <w:tc>
          <w:tcPr>
            <w:tcW w:type="dxa" w:w="1800"/>
            <w:shd w:fill="FAFBFC"/>
            <w:tcMar>
              <w:top w:w="90" w:type="dxa"/>
              <w:start w:w="90" w:type="dxa"/>
              <w:bottom w:w="90" w:type="dxa"/>
              <w:end w:w="90" w:type="dxa"/>
            </w:tcMar>
            <w:vAlign w:val="top"/>
          </w:tcPr>
          <w:p>
            <w:pPr>
              <w:spacing w:after="0"/>
            </w:pPr>
            <w:r>
              <w:rPr>
                <w:rFonts w:ascii="Carlito" w:hAnsi="Carlito"/>
                <w:color w:val="233440"/>
                <w:sz w:val="17"/>
              </w:rPr>
              <w:t>Carry-over / vigencia</w:t>
            </w:r>
          </w:p>
        </w:tc>
        <w:tc>
          <w:tcPr>
            <w:tcW w:type="dxa" w:w="5000"/>
            <w:shd w:fill="FAFBFC"/>
            <w:tcMar>
              <w:top w:w="90" w:type="dxa"/>
              <w:start w:w="90" w:type="dxa"/>
              <w:bottom w:w="90" w:type="dxa"/>
              <w:end w:w="90" w:type="dxa"/>
            </w:tcMar>
            <w:vAlign w:val="top"/>
          </w:tcPr>
          <w:p>
            <w:pPr>
              <w:spacing w:after="0"/>
            </w:pPr>
            <w:r>
              <w:rPr>
                <w:rFonts w:ascii="Carlito" w:hAnsi="Carlito"/>
                <w:color w:val="233440"/>
                <w:sz w:val="17"/>
              </w:rPr>
              <w:t>Acumulación de saldo, vencimiento, máximo transferible y período de gracia.</w:t>
            </w:r>
          </w:p>
        </w:tc>
      </w:tr>
    </w:tbl>
    <w:p>
      <w:pPr>
        <w:spacing w:after="0"/>
      </w:pPr>
    </w:p>
    <w:p>
      <w:pPr>
        <w:pStyle w:val="Heading2"/>
      </w:pPr>
      <w:r>
        <w:t>5.2 Precedencia de configuración</w:t>
      </w:r>
    </w:p>
    <w:p>
      <w:pPr>
        <w:spacing w:after="120" w:line="259" w:lineRule="auto"/>
      </w:pPr>
      <w:r>
        <w:rPr>
          <w:rFonts w:ascii="Carlito" w:hAnsi="Carlito"/>
          <w:color w:val="233440"/>
          <w:sz w:val="20"/>
        </w:rPr>
        <w:t>Para evitar excepciones descontroladas se recomienda una precedencia simple en el MVP: Política global → Política del tipo de licencia → Override por unidad organizacional. Las excepciones individuales deben quedar restringidas a RRHH y registrarse explícitamente, preferentemente como movimiento de saldo o excepción temporal con fecha de vencimiento.</w:t>
      </w:r>
    </w:p>
    <w:p>
      <w:pPr>
        <w:pStyle w:val="Heading2"/>
      </w:pPr>
      <w:r>
        <w:t>5.3 Calendarios y feriados</w:t>
      </w:r>
    </w:p>
    <w:p>
      <w:pPr>
        <w:spacing w:after="120" w:line="259" w:lineRule="auto"/>
      </w:pPr>
      <w:r>
        <w:rPr>
          <w:rFonts w:ascii="Carlito" w:hAnsi="Carlito"/>
          <w:color w:val="233440"/>
          <w:sz w:val="20"/>
        </w:rPr>
        <w:t>Los feriados deben almacenarse en calendarios asignables por sede, país o unidad. Una política indica qué calendario utilizar. Las fechas de licencia se almacenan como fechas de negocio; timestamps de acciones y auditoría se guardan en UTC y se presentan en la zona horaria de la organización/usuario.</w:t>
      </w:r>
    </w:p>
    <w:p>
      <w:pPr>
        <w:pStyle w:val="Heading2"/>
      </w:pPr>
      <w:r>
        <w:t>5.4 Saldos mediante ledger</w:t>
      </w:r>
    </w:p>
    <w:p>
      <w:pPr>
        <w:spacing w:after="120" w:line="259" w:lineRule="auto"/>
      </w:pPr>
      <w:r>
        <w:rPr>
          <w:rFonts w:ascii="Carlito" w:hAnsi="Carlito"/>
          <w:color w:val="233440"/>
          <w:sz w:val="20"/>
        </w:rPr>
        <w:t>No se persistirá “17 días restantes” como valor editable. Se mantendrá una cuenta de saldo por persona, bucket y período, acompañada por movimientos inmutables. Los totales visibles se derivan de estos movimientos.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00"/>
            <w:shd w:fill="294C60"/>
            <w:tcMar>
              <w:top w:w="90" w:type="dxa"/>
              <w:start w:w="90" w:type="dxa"/>
              <w:bottom w:w="90" w:type="dxa"/>
              <w:end w:w="90" w:type="dxa"/>
            </w:tcMar>
            <w:vAlign w:val="center"/>
          </w:tcPr>
          <w:p>
            <w:pPr>
              <w:jc w:val="left"/>
            </w:pPr>
            <w:r>
              <w:rPr>
                <w:rFonts w:ascii="Carlito" w:hAnsi="Carlito"/>
                <w:b/>
                <w:color w:val="FFFFFF"/>
                <w:sz w:val="17"/>
              </w:rPr>
              <w:t>Tipo de movimiento</w:t>
            </w:r>
          </w:p>
        </w:tc>
        <w:tc>
          <w:tcPr>
            <w:tcW w:type="dxa" w:w="3100"/>
            <w:shd w:fill="294C60"/>
            <w:tcMar>
              <w:top w:w="90" w:type="dxa"/>
              <w:start w:w="90" w:type="dxa"/>
              <w:bottom w:w="90" w:type="dxa"/>
              <w:end w:w="90" w:type="dxa"/>
            </w:tcMar>
            <w:vAlign w:val="center"/>
          </w:tcPr>
          <w:p>
            <w:pPr>
              <w:jc w:val="left"/>
            </w:pPr>
            <w:r>
              <w:rPr>
                <w:rFonts w:ascii="Carlito" w:hAnsi="Carlito"/>
                <w:b/>
                <w:color w:val="FFFFFF"/>
                <w:sz w:val="17"/>
              </w:rPr>
              <w:t>Ejemplo</w:t>
            </w:r>
          </w:p>
        </w:tc>
        <w:tc>
          <w:tcPr>
            <w:tcW w:type="dxa" w:w="2200"/>
            <w:shd w:fill="294C60"/>
            <w:tcMar>
              <w:top w:w="90" w:type="dxa"/>
              <w:start w:w="90" w:type="dxa"/>
              <w:bottom w:w="90" w:type="dxa"/>
              <w:end w:w="90" w:type="dxa"/>
            </w:tcMar>
            <w:vAlign w:val="center"/>
          </w:tcPr>
          <w:p>
            <w:pPr>
              <w:jc w:val="left"/>
            </w:pPr>
            <w:r>
              <w:rPr>
                <w:rFonts w:ascii="Carlito" w:hAnsi="Carlito"/>
                <w:b/>
                <w:color w:val="FFFFFF"/>
                <w:sz w:val="17"/>
              </w:rPr>
              <w:t>Efecto</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7"/>
              </w:rPr>
              <w:t>GRANT</w:t>
            </w:r>
          </w:p>
        </w:tc>
        <w:tc>
          <w:tcPr>
            <w:tcW w:type="dxa" w:w="3100"/>
            <w:tcMar>
              <w:top w:w="90" w:type="dxa"/>
              <w:start w:w="90" w:type="dxa"/>
              <w:bottom w:w="90" w:type="dxa"/>
              <w:end w:w="90" w:type="dxa"/>
            </w:tcMar>
            <w:vAlign w:val="top"/>
          </w:tcPr>
          <w:p>
            <w:pPr>
              <w:spacing w:after="0"/>
            </w:pPr>
            <w:r>
              <w:rPr>
                <w:rFonts w:ascii="Carlito" w:hAnsi="Carlito"/>
                <w:color w:val="233440"/>
                <w:sz w:val="17"/>
              </w:rPr>
              <w:t>Asignación anual +20</w:t>
            </w:r>
          </w:p>
        </w:tc>
        <w:tc>
          <w:tcPr>
            <w:tcW w:type="dxa" w:w="2200"/>
            <w:tcMar>
              <w:top w:w="90" w:type="dxa"/>
              <w:start w:w="90" w:type="dxa"/>
              <w:bottom w:w="90" w:type="dxa"/>
              <w:end w:w="90" w:type="dxa"/>
            </w:tcMar>
            <w:vAlign w:val="top"/>
          </w:tcPr>
          <w:p>
            <w:pPr>
              <w:spacing w:after="0"/>
            </w:pPr>
            <w:r>
              <w:rPr>
                <w:rFonts w:ascii="Carlito" w:hAnsi="Carlito"/>
                <w:color w:val="233440"/>
                <w:sz w:val="17"/>
              </w:rPr>
              <w:t>Aumenta disponible</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7"/>
              </w:rPr>
              <w:t>RESERVE</w:t>
            </w:r>
          </w:p>
        </w:tc>
        <w:tc>
          <w:tcPr>
            <w:tcW w:type="dxa" w:w="3100"/>
            <w:shd w:fill="FAFBFC"/>
            <w:tcMar>
              <w:top w:w="90" w:type="dxa"/>
              <w:start w:w="90" w:type="dxa"/>
              <w:bottom w:w="90" w:type="dxa"/>
              <w:end w:w="90" w:type="dxa"/>
            </w:tcMar>
            <w:vAlign w:val="top"/>
          </w:tcPr>
          <w:p>
            <w:pPr>
              <w:spacing w:after="0"/>
            </w:pPr>
            <w:r>
              <w:rPr>
                <w:rFonts w:ascii="Carlito" w:hAnsi="Carlito"/>
                <w:color w:val="233440"/>
                <w:sz w:val="17"/>
              </w:rPr>
              <w:t>Solicitud pendiente -5</w:t>
            </w:r>
          </w:p>
        </w:tc>
        <w:tc>
          <w:tcPr>
            <w:tcW w:type="dxa" w:w="2200"/>
            <w:shd w:fill="FAFBFC"/>
            <w:tcMar>
              <w:top w:w="90" w:type="dxa"/>
              <w:start w:w="90" w:type="dxa"/>
              <w:bottom w:w="90" w:type="dxa"/>
              <w:end w:w="90" w:type="dxa"/>
            </w:tcMar>
            <w:vAlign w:val="top"/>
          </w:tcPr>
          <w:p>
            <w:pPr>
              <w:spacing w:after="0"/>
            </w:pPr>
            <w:r>
              <w:rPr>
                <w:rFonts w:ascii="Carlito" w:hAnsi="Carlito"/>
                <w:color w:val="233440"/>
                <w:sz w:val="17"/>
              </w:rPr>
              <w:t>Reduce disponible y aumenta pendiente</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7"/>
              </w:rPr>
              <w:t>RELEASE</w:t>
            </w:r>
          </w:p>
        </w:tc>
        <w:tc>
          <w:tcPr>
            <w:tcW w:type="dxa" w:w="3100"/>
            <w:tcMar>
              <w:top w:w="90" w:type="dxa"/>
              <w:start w:w="90" w:type="dxa"/>
              <w:bottom w:w="90" w:type="dxa"/>
              <w:end w:w="90" w:type="dxa"/>
            </w:tcMar>
            <w:vAlign w:val="top"/>
          </w:tcPr>
          <w:p>
            <w:pPr>
              <w:spacing w:after="0"/>
            </w:pPr>
            <w:r>
              <w:rPr>
                <w:rFonts w:ascii="Carlito" w:hAnsi="Carlito"/>
                <w:color w:val="233440"/>
                <w:sz w:val="17"/>
              </w:rPr>
              <w:t>Rechazo/cancelación pendiente +5</w:t>
            </w:r>
          </w:p>
        </w:tc>
        <w:tc>
          <w:tcPr>
            <w:tcW w:type="dxa" w:w="2200"/>
            <w:tcMar>
              <w:top w:w="90" w:type="dxa"/>
              <w:start w:w="90" w:type="dxa"/>
              <w:bottom w:w="90" w:type="dxa"/>
              <w:end w:w="90" w:type="dxa"/>
            </w:tcMar>
            <w:vAlign w:val="top"/>
          </w:tcPr>
          <w:p>
            <w:pPr>
              <w:spacing w:after="0"/>
            </w:pPr>
            <w:r>
              <w:rPr>
                <w:rFonts w:ascii="Carlito" w:hAnsi="Carlito"/>
                <w:color w:val="233440"/>
                <w:sz w:val="17"/>
              </w:rPr>
              <w:t>Libera reserva</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7"/>
              </w:rPr>
              <w:t>CONSUME</w:t>
            </w:r>
          </w:p>
        </w:tc>
        <w:tc>
          <w:tcPr>
            <w:tcW w:type="dxa" w:w="3100"/>
            <w:shd w:fill="FAFBFC"/>
            <w:tcMar>
              <w:top w:w="90" w:type="dxa"/>
              <w:start w:w="90" w:type="dxa"/>
              <w:bottom w:w="90" w:type="dxa"/>
              <w:end w:w="90" w:type="dxa"/>
            </w:tcMar>
            <w:vAlign w:val="top"/>
          </w:tcPr>
          <w:p>
            <w:pPr>
              <w:spacing w:after="0"/>
            </w:pPr>
            <w:r>
              <w:rPr>
                <w:rFonts w:ascii="Carlito" w:hAnsi="Carlito"/>
                <w:color w:val="233440"/>
                <w:sz w:val="17"/>
              </w:rPr>
              <w:t>Aprobación de 5 días</w:t>
            </w:r>
          </w:p>
        </w:tc>
        <w:tc>
          <w:tcPr>
            <w:tcW w:type="dxa" w:w="2200"/>
            <w:shd w:fill="FAFBFC"/>
            <w:tcMar>
              <w:top w:w="90" w:type="dxa"/>
              <w:start w:w="90" w:type="dxa"/>
              <w:bottom w:w="90" w:type="dxa"/>
              <w:end w:w="90" w:type="dxa"/>
            </w:tcMar>
            <w:vAlign w:val="top"/>
          </w:tcPr>
          <w:p>
            <w:pPr>
              <w:spacing w:after="0"/>
            </w:pPr>
            <w:r>
              <w:rPr>
                <w:rFonts w:ascii="Carlito" w:hAnsi="Carlito"/>
                <w:color w:val="233440"/>
                <w:sz w:val="17"/>
              </w:rPr>
              <w:t>Convierte reserva en consumo definitivo</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7"/>
              </w:rPr>
              <w:t>REFUND</w:t>
            </w:r>
          </w:p>
        </w:tc>
        <w:tc>
          <w:tcPr>
            <w:tcW w:type="dxa" w:w="3100"/>
            <w:tcMar>
              <w:top w:w="90" w:type="dxa"/>
              <w:start w:w="90" w:type="dxa"/>
              <w:bottom w:w="90" w:type="dxa"/>
              <w:end w:w="90" w:type="dxa"/>
            </w:tcMar>
            <w:vAlign w:val="top"/>
          </w:tcPr>
          <w:p>
            <w:pPr>
              <w:spacing w:after="0"/>
            </w:pPr>
            <w:r>
              <w:rPr>
                <w:rFonts w:ascii="Carlito" w:hAnsi="Carlito"/>
                <w:color w:val="233440"/>
                <w:sz w:val="17"/>
              </w:rPr>
              <w:t>Cancelación/revocación +5</w:t>
            </w:r>
          </w:p>
        </w:tc>
        <w:tc>
          <w:tcPr>
            <w:tcW w:type="dxa" w:w="2200"/>
            <w:tcMar>
              <w:top w:w="90" w:type="dxa"/>
              <w:start w:w="90" w:type="dxa"/>
              <w:bottom w:w="90" w:type="dxa"/>
              <w:end w:w="90" w:type="dxa"/>
            </w:tcMar>
            <w:vAlign w:val="top"/>
          </w:tcPr>
          <w:p>
            <w:pPr>
              <w:spacing w:after="0"/>
            </w:pPr>
            <w:r>
              <w:rPr>
                <w:rFonts w:ascii="Carlito" w:hAnsi="Carlito"/>
                <w:color w:val="233440"/>
                <w:sz w:val="17"/>
              </w:rPr>
              <w:t>Devuelve días según política</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7"/>
              </w:rPr>
              <w:t>ADJUSTMENT</w:t>
            </w:r>
          </w:p>
        </w:tc>
        <w:tc>
          <w:tcPr>
            <w:tcW w:type="dxa" w:w="3100"/>
            <w:shd w:fill="FAFBFC"/>
            <w:tcMar>
              <w:top w:w="90" w:type="dxa"/>
              <w:start w:w="90" w:type="dxa"/>
              <w:bottom w:w="90" w:type="dxa"/>
              <w:end w:w="90" w:type="dxa"/>
            </w:tcMar>
            <w:vAlign w:val="top"/>
          </w:tcPr>
          <w:p>
            <w:pPr>
              <w:spacing w:after="0"/>
            </w:pPr>
            <w:r>
              <w:rPr>
                <w:rFonts w:ascii="Carlito" w:hAnsi="Carlito"/>
                <w:color w:val="233440"/>
                <w:sz w:val="17"/>
              </w:rPr>
              <w:t>Corrección RRHH ±N</w:t>
            </w:r>
          </w:p>
        </w:tc>
        <w:tc>
          <w:tcPr>
            <w:tcW w:type="dxa" w:w="2200"/>
            <w:shd w:fill="FAFBFC"/>
            <w:tcMar>
              <w:top w:w="90" w:type="dxa"/>
              <w:start w:w="90" w:type="dxa"/>
              <w:bottom w:w="90" w:type="dxa"/>
              <w:end w:w="90" w:type="dxa"/>
            </w:tcMar>
            <w:vAlign w:val="top"/>
          </w:tcPr>
          <w:p>
            <w:pPr>
              <w:spacing w:after="0"/>
            </w:pPr>
            <w:r>
              <w:rPr>
                <w:rFonts w:ascii="Carlito" w:hAnsi="Carlito"/>
                <w:color w:val="233440"/>
                <w:sz w:val="17"/>
              </w:rPr>
              <w:t>Ajuste con motivo obligatorio</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7"/>
              </w:rPr>
              <w:t>EXPIRE</w:t>
            </w:r>
          </w:p>
        </w:tc>
        <w:tc>
          <w:tcPr>
            <w:tcW w:type="dxa" w:w="3100"/>
            <w:tcMar>
              <w:top w:w="90" w:type="dxa"/>
              <w:start w:w="90" w:type="dxa"/>
              <w:bottom w:w="90" w:type="dxa"/>
              <w:end w:w="90" w:type="dxa"/>
            </w:tcMar>
            <w:vAlign w:val="top"/>
          </w:tcPr>
          <w:p>
            <w:pPr>
              <w:spacing w:after="0"/>
            </w:pPr>
            <w:r>
              <w:rPr>
                <w:rFonts w:ascii="Carlito" w:hAnsi="Carlito"/>
                <w:color w:val="233440"/>
                <w:sz w:val="17"/>
              </w:rPr>
              <w:t>Vencimiento -N</w:t>
            </w:r>
          </w:p>
        </w:tc>
        <w:tc>
          <w:tcPr>
            <w:tcW w:type="dxa" w:w="2200"/>
            <w:tcMar>
              <w:top w:w="90" w:type="dxa"/>
              <w:start w:w="90" w:type="dxa"/>
              <w:bottom w:w="90" w:type="dxa"/>
              <w:end w:w="90" w:type="dxa"/>
            </w:tcMar>
            <w:vAlign w:val="top"/>
          </w:tcPr>
          <w:p>
            <w:pPr>
              <w:spacing w:after="0"/>
            </w:pPr>
            <w:r>
              <w:rPr>
                <w:rFonts w:ascii="Carlito" w:hAnsi="Carlito"/>
                <w:color w:val="233440"/>
                <w:sz w:val="17"/>
              </w:rPr>
              <w:t>Reduce saldo vencido con trazabilidad</w:t>
            </w:r>
          </w:p>
        </w:tc>
      </w:tr>
    </w:tbl>
    <w:p>
      <w:pPr>
        <w:spacing w:after="0"/>
      </w:pPr>
    </w:p>
    <w:tbl>
      <w:tblPr>
        <w:tblW w:type="auto" w:w="0"/>
        <w:jc w:val="center"/>
        <w:tblLook w:firstColumn="1" w:firstRow="1" w:lastColumn="0" w:lastRow="0" w:noHBand="0" w:noVBand="1" w:val="04A0"/>
      </w:tblPr>
      <w:tblGrid>
        <w:gridCol w:w="10166"/>
      </w:tblGrid>
      <w:tr>
        <w:tc>
          <w:tcPr>
            <w:tcW w:type="dxa" w:w="10166"/>
            <w:shd w:fill="EEF4F8"/>
            <w:tcMar>
              <w:top w:w="130" w:type="dxa"/>
              <w:start w:w="160" w:type="dxa"/>
              <w:bottom w:w="130" w:type="dxa"/>
              <w:end w:w="160" w:type="dxa"/>
            </w:tcMar>
          </w:tcPr>
          <w:p>
            <w:r>
              <w:rPr>
                <w:rFonts w:ascii="Carlito" w:hAnsi="Carlito"/>
                <w:b/>
                <w:color w:val="294C60"/>
                <w:sz w:val="21"/>
              </w:rPr>
              <w:t>Ventaja</w:t>
              <w:br/>
            </w:r>
            <w:r>
              <w:rPr>
                <w:rFonts w:ascii="Carlito" w:hAnsi="Carlito"/>
                <w:color w:val="233440"/>
                <w:sz w:val="20"/>
              </w:rPr>
              <w:t>El sistema puede mostrar “20 otorgados / 3 pendientes / 7 consumidos / 10 disponibles” y explicar cada número mediante movimientos auditables.</w:t>
            </w:r>
          </w:p>
        </w:tc>
      </w:tr>
    </w:tbl>
    <w:p>
      <w:pPr>
        <w:spacing w:after="0"/>
      </w:pPr>
    </w:p>
    <w:p>
      <w:pPr>
        <w:pStyle w:val="Heading1"/>
      </w:pPr>
      <w:r>
        <w:t>6. Casos de uso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50"/>
            <w:shd w:fill="294C60"/>
            <w:tcMar>
              <w:top w:w="90" w:type="dxa"/>
              <w:start w:w="90" w:type="dxa"/>
              <w:bottom w:w="90" w:type="dxa"/>
              <w:end w:w="90" w:type="dxa"/>
            </w:tcMar>
            <w:vAlign w:val="center"/>
          </w:tcPr>
          <w:p>
            <w:pPr>
              <w:jc w:val="left"/>
            </w:pPr>
            <w:r>
              <w:rPr>
                <w:rFonts w:ascii="Carlito" w:hAnsi="Carlito"/>
                <w:b/>
                <w:color w:val="FFFFFF"/>
                <w:sz w:val="15"/>
              </w:rPr>
              <w:t>ID</w:t>
            </w:r>
          </w:p>
        </w:tc>
        <w:tc>
          <w:tcPr>
            <w:tcW w:type="dxa" w:w="1650"/>
            <w:shd w:fill="294C60"/>
            <w:tcMar>
              <w:top w:w="90" w:type="dxa"/>
              <w:start w:w="90" w:type="dxa"/>
              <w:bottom w:w="90" w:type="dxa"/>
              <w:end w:w="90" w:type="dxa"/>
            </w:tcMar>
            <w:vAlign w:val="center"/>
          </w:tcPr>
          <w:p>
            <w:pPr>
              <w:jc w:val="left"/>
            </w:pPr>
            <w:r>
              <w:rPr>
                <w:rFonts w:ascii="Carlito" w:hAnsi="Carlito"/>
                <w:b/>
                <w:color w:val="FFFFFF"/>
                <w:sz w:val="15"/>
              </w:rPr>
              <w:t>Caso de uso</w:t>
            </w:r>
          </w:p>
        </w:tc>
        <w:tc>
          <w:tcPr>
            <w:tcW w:type="dxa" w:w="1350"/>
            <w:shd w:fill="294C60"/>
            <w:tcMar>
              <w:top w:w="90" w:type="dxa"/>
              <w:start w:w="90" w:type="dxa"/>
              <w:bottom w:w="90" w:type="dxa"/>
              <w:end w:w="90" w:type="dxa"/>
            </w:tcMar>
            <w:vAlign w:val="center"/>
          </w:tcPr>
          <w:p>
            <w:pPr>
              <w:jc w:val="left"/>
            </w:pPr>
            <w:r>
              <w:rPr>
                <w:rFonts w:ascii="Carlito" w:hAnsi="Carlito"/>
                <w:b/>
                <w:color w:val="FFFFFF"/>
                <w:sz w:val="15"/>
              </w:rPr>
              <w:t>Actor principal</w:t>
            </w:r>
          </w:p>
        </w:tc>
        <w:tc>
          <w:tcPr>
            <w:tcW w:type="dxa" w:w="3150"/>
            <w:shd w:fill="294C60"/>
            <w:tcMar>
              <w:top w:w="90" w:type="dxa"/>
              <w:start w:w="90" w:type="dxa"/>
              <w:bottom w:w="90" w:type="dxa"/>
              <w:end w:w="90" w:type="dxa"/>
            </w:tcMar>
            <w:vAlign w:val="center"/>
          </w:tcPr>
          <w:p>
            <w:pPr>
              <w:jc w:val="left"/>
            </w:pPr>
            <w:r>
              <w:rPr>
                <w:rFonts w:ascii="Carlito" w:hAnsi="Carlito"/>
                <w:b/>
                <w:color w:val="FFFFFF"/>
                <w:sz w:val="15"/>
              </w:rPr>
              <w:t>Resultado esperado</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UC-01</w:t>
            </w:r>
          </w:p>
        </w:tc>
        <w:tc>
          <w:tcPr>
            <w:tcW w:type="dxa" w:w="1650"/>
            <w:tcMar>
              <w:top w:w="90" w:type="dxa"/>
              <w:start w:w="90" w:type="dxa"/>
              <w:bottom w:w="90" w:type="dxa"/>
              <w:end w:w="90" w:type="dxa"/>
            </w:tcMar>
            <w:vAlign w:val="top"/>
          </w:tcPr>
          <w:p>
            <w:pPr>
              <w:spacing w:after="0"/>
            </w:pPr>
            <w:r>
              <w:rPr>
                <w:rFonts w:ascii="Carlito" w:hAnsi="Carlito"/>
                <w:color w:val="233440"/>
                <w:sz w:val="15"/>
              </w:rPr>
              <w:t>Iniciar sesión</w:t>
            </w:r>
          </w:p>
        </w:tc>
        <w:tc>
          <w:tcPr>
            <w:tcW w:type="dxa" w:w="1350"/>
            <w:tcMar>
              <w:top w:w="90" w:type="dxa"/>
              <w:start w:w="90" w:type="dxa"/>
              <w:bottom w:w="90" w:type="dxa"/>
              <w:end w:w="90" w:type="dxa"/>
            </w:tcMar>
            <w:vAlign w:val="top"/>
          </w:tcPr>
          <w:p>
            <w:pPr>
              <w:spacing w:after="0"/>
            </w:pPr>
            <w:r>
              <w:rPr>
                <w:rFonts w:ascii="Carlito" w:hAnsi="Carlito"/>
                <w:color w:val="233440"/>
                <w:sz w:val="15"/>
              </w:rPr>
              <w:t>Usuario</w:t>
            </w:r>
          </w:p>
        </w:tc>
        <w:tc>
          <w:tcPr>
            <w:tcW w:type="dxa" w:w="3150"/>
            <w:tcMar>
              <w:top w:w="90" w:type="dxa"/>
              <w:start w:w="90" w:type="dxa"/>
              <w:bottom w:w="90" w:type="dxa"/>
              <w:end w:w="90" w:type="dxa"/>
            </w:tcMar>
            <w:vAlign w:val="top"/>
          </w:tcPr>
          <w:p>
            <w:pPr>
              <w:spacing w:after="0"/>
            </w:pPr>
            <w:r>
              <w:rPr>
                <w:rFonts w:ascii="Carlito" w:hAnsi="Carlito"/>
                <w:color w:val="233440"/>
                <w:sz w:val="15"/>
              </w:rPr>
              <w:t>Ingresar mediante SSO de Microsoft Entra ID; aprovisionar perfil local si corresponde.</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UC-02</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Consultar saldos</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Empleado</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Ver saldos por tipo/bucket, pendientes, consumidos, vencimientos y próximo carry-over.</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UC-03</w:t>
            </w:r>
          </w:p>
        </w:tc>
        <w:tc>
          <w:tcPr>
            <w:tcW w:type="dxa" w:w="1650"/>
            <w:tcMar>
              <w:top w:w="90" w:type="dxa"/>
              <w:start w:w="90" w:type="dxa"/>
              <w:bottom w:w="90" w:type="dxa"/>
              <w:end w:w="90" w:type="dxa"/>
            </w:tcMar>
            <w:vAlign w:val="top"/>
          </w:tcPr>
          <w:p>
            <w:pPr>
              <w:spacing w:after="0"/>
            </w:pPr>
            <w:r>
              <w:rPr>
                <w:rFonts w:ascii="Carlito" w:hAnsi="Carlito"/>
                <w:color w:val="233440"/>
                <w:sz w:val="15"/>
              </w:rPr>
              <w:t>Crear solicitud</w:t>
            </w:r>
          </w:p>
        </w:tc>
        <w:tc>
          <w:tcPr>
            <w:tcW w:type="dxa" w:w="1350"/>
            <w:tcMar>
              <w:top w:w="90" w:type="dxa"/>
              <w:start w:w="90" w:type="dxa"/>
              <w:bottom w:w="90" w:type="dxa"/>
              <w:end w:w="90" w:type="dxa"/>
            </w:tcMar>
            <w:vAlign w:val="top"/>
          </w:tcPr>
          <w:p>
            <w:pPr>
              <w:spacing w:after="0"/>
            </w:pPr>
            <w:r>
              <w:rPr>
                <w:rFonts w:ascii="Carlito" w:hAnsi="Carlito"/>
                <w:color w:val="233440"/>
                <w:sz w:val="15"/>
              </w:rPr>
              <w:t>Empleado</w:t>
            </w:r>
          </w:p>
        </w:tc>
        <w:tc>
          <w:tcPr>
            <w:tcW w:type="dxa" w:w="3150"/>
            <w:tcMar>
              <w:top w:w="90" w:type="dxa"/>
              <w:start w:w="90" w:type="dxa"/>
              <w:bottom w:w="90" w:type="dxa"/>
              <w:end w:w="90" w:type="dxa"/>
            </w:tcMar>
            <w:vAlign w:val="top"/>
          </w:tcPr>
          <w:p>
            <w:pPr>
              <w:spacing w:after="0"/>
            </w:pPr>
            <w:r>
              <w:rPr>
                <w:rFonts w:ascii="Carlito" w:hAnsi="Carlito"/>
                <w:color w:val="233440"/>
                <w:sz w:val="15"/>
              </w:rPr>
              <w:t>Seleccionar tipo, fechas/medios días, comentario y adjuntos. Calcular días y validar política antes de enviar.</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UC-04</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Guardar borrador</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Empleado</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Conservar solicitud incompleta sin reservar saldo ni iniciar aprobación.</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UC-05</w:t>
            </w:r>
          </w:p>
        </w:tc>
        <w:tc>
          <w:tcPr>
            <w:tcW w:type="dxa" w:w="1650"/>
            <w:tcMar>
              <w:top w:w="90" w:type="dxa"/>
              <w:start w:w="90" w:type="dxa"/>
              <w:bottom w:w="90" w:type="dxa"/>
              <w:end w:w="90" w:type="dxa"/>
            </w:tcMar>
            <w:vAlign w:val="top"/>
          </w:tcPr>
          <w:p>
            <w:pPr>
              <w:spacing w:after="0"/>
            </w:pPr>
            <w:r>
              <w:rPr>
                <w:rFonts w:ascii="Carlito" w:hAnsi="Carlito"/>
                <w:color w:val="233440"/>
                <w:sz w:val="15"/>
              </w:rPr>
              <w:t>Enviar solicitud</w:t>
            </w:r>
          </w:p>
        </w:tc>
        <w:tc>
          <w:tcPr>
            <w:tcW w:type="dxa" w:w="1350"/>
            <w:tcMar>
              <w:top w:w="90" w:type="dxa"/>
              <w:start w:w="90" w:type="dxa"/>
              <w:bottom w:w="90" w:type="dxa"/>
              <w:end w:w="90" w:type="dxa"/>
            </w:tcMar>
            <w:vAlign w:val="top"/>
          </w:tcPr>
          <w:p>
            <w:pPr>
              <w:spacing w:after="0"/>
            </w:pPr>
            <w:r>
              <w:rPr>
                <w:rFonts w:ascii="Carlito" w:hAnsi="Carlito"/>
                <w:color w:val="233440"/>
                <w:sz w:val="15"/>
              </w:rPr>
              <w:t>Empleado</w:t>
            </w:r>
          </w:p>
        </w:tc>
        <w:tc>
          <w:tcPr>
            <w:tcW w:type="dxa" w:w="3150"/>
            <w:tcMar>
              <w:top w:w="90" w:type="dxa"/>
              <w:start w:w="90" w:type="dxa"/>
              <w:bottom w:w="90" w:type="dxa"/>
              <w:end w:w="90" w:type="dxa"/>
            </w:tcMar>
            <w:vAlign w:val="top"/>
          </w:tcPr>
          <w:p>
            <w:pPr>
              <w:spacing w:after="0"/>
            </w:pPr>
            <w:r>
              <w:rPr>
                <w:rFonts w:ascii="Carlito" w:hAnsi="Carlito"/>
                <w:color w:val="233440"/>
                <w:sz w:val="15"/>
              </w:rPr>
              <w:t>Ejecutar validaciones, reservar saldo cuando aplique y generar workflow de aprobación.</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UC-06</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Aprobar solicitud</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Supervisor/Encargado/RRHH</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Aprobar un paso, dejar comentario opcional/obligatorio según política y avanzar workflow.</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UC-07</w:t>
            </w:r>
          </w:p>
        </w:tc>
        <w:tc>
          <w:tcPr>
            <w:tcW w:type="dxa" w:w="1650"/>
            <w:tcMar>
              <w:top w:w="90" w:type="dxa"/>
              <w:start w:w="90" w:type="dxa"/>
              <w:bottom w:w="90" w:type="dxa"/>
              <w:end w:w="90" w:type="dxa"/>
            </w:tcMar>
            <w:vAlign w:val="top"/>
          </w:tcPr>
          <w:p>
            <w:pPr>
              <w:spacing w:after="0"/>
            </w:pPr>
            <w:r>
              <w:rPr>
                <w:rFonts w:ascii="Carlito" w:hAnsi="Carlito"/>
                <w:color w:val="233440"/>
                <w:sz w:val="15"/>
              </w:rPr>
              <w:t>Rechazar solicitud</w:t>
            </w:r>
          </w:p>
        </w:tc>
        <w:tc>
          <w:tcPr>
            <w:tcW w:type="dxa" w:w="1350"/>
            <w:tcMar>
              <w:top w:w="90" w:type="dxa"/>
              <w:start w:w="90" w:type="dxa"/>
              <w:bottom w:w="90" w:type="dxa"/>
              <w:end w:w="90" w:type="dxa"/>
            </w:tcMar>
            <w:vAlign w:val="top"/>
          </w:tcPr>
          <w:p>
            <w:pPr>
              <w:spacing w:after="0"/>
            </w:pPr>
            <w:r>
              <w:rPr>
                <w:rFonts w:ascii="Carlito" w:hAnsi="Carlito"/>
                <w:color w:val="233440"/>
                <w:sz w:val="15"/>
              </w:rPr>
              <w:t>Supervisor/Encargado/RRHH</w:t>
            </w:r>
          </w:p>
        </w:tc>
        <w:tc>
          <w:tcPr>
            <w:tcW w:type="dxa" w:w="3150"/>
            <w:tcMar>
              <w:top w:w="90" w:type="dxa"/>
              <w:start w:w="90" w:type="dxa"/>
              <w:bottom w:w="90" w:type="dxa"/>
              <w:end w:w="90" w:type="dxa"/>
            </w:tcMar>
            <w:vAlign w:val="top"/>
          </w:tcPr>
          <w:p>
            <w:pPr>
              <w:spacing w:after="0"/>
            </w:pPr>
            <w:r>
              <w:rPr>
                <w:rFonts w:ascii="Carlito" w:hAnsi="Carlito"/>
                <w:color w:val="233440"/>
                <w:sz w:val="15"/>
              </w:rPr>
              <w:t>Rechazar con motivo; liberar reserva y notificar al solicitante.</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UC-08</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Solicitar cancelación</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Empleado</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Solicitar cancelación de una licencia aprobada, manteniendo la licencia vigente hasta decisión.</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UC-09</w:t>
            </w:r>
          </w:p>
        </w:tc>
        <w:tc>
          <w:tcPr>
            <w:tcW w:type="dxa" w:w="1650"/>
            <w:tcMar>
              <w:top w:w="90" w:type="dxa"/>
              <w:start w:w="90" w:type="dxa"/>
              <w:bottom w:w="90" w:type="dxa"/>
              <w:end w:w="90" w:type="dxa"/>
            </w:tcMar>
            <w:vAlign w:val="top"/>
          </w:tcPr>
          <w:p>
            <w:pPr>
              <w:spacing w:after="0"/>
            </w:pPr>
            <w:r>
              <w:rPr>
                <w:rFonts w:ascii="Carlito" w:hAnsi="Carlito"/>
                <w:color w:val="233440"/>
                <w:sz w:val="15"/>
              </w:rPr>
              <w:t>Resolver cancelación</w:t>
            </w:r>
          </w:p>
        </w:tc>
        <w:tc>
          <w:tcPr>
            <w:tcW w:type="dxa" w:w="1350"/>
            <w:tcMar>
              <w:top w:w="90" w:type="dxa"/>
              <w:start w:w="90" w:type="dxa"/>
              <w:bottom w:w="90" w:type="dxa"/>
              <w:end w:w="90" w:type="dxa"/>
            </w:tcMar>
            <w:vAlign w:val="top"/>
          </w:tcPr>
          <w:p>
            <w:pPr>
              <w:spacing w:after="0"/>
            </w:pPr>
            <w:r>
              <w:rPr>
                <w:rFonts w:ascii="Carlito" w:hAnsi="Carlito"/>
                <w:color w:val="233440"/>
                <w:sz w:val="15"/>
              </w:rPr>
              <w:t>Superior/RRHH</w:t>
            </w:r>
          </w:p>
        </w:tc>
        <w:tc>
          <w:tcPr>
            <w:tcW w:type="dxa" w:w="3150"/>
            <w:tcMar>
              <w:top w:w="90" w:type="dxa"/>
              <w:start w:w="90" w:type="dxa"/>
              <w:bottom w:w="90" w:type="dxa"/>
              <w:end w:w="90" w:type="dxa"/>
            </w:tcMar>
            <w:vAlign w:val="top"/>
          </w:tcPr>
          <w:p>
            <w:pPr>
              <w:spacing w:after="0"/>
            </w:pPr>
            <w:r>
              <w:rPr>
                <w:rFonts w:ascii="Carlito" w:hAnsi="Carlito"/>
                <w:color w:val="233440"/>
                <w:sz w:val="15"/>
              </w:rPr>
              <w:t>Aprobar o rechazar la cancelación; devolver saldo si corresponde.</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UC-10</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Revocar licencia</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Superior/RRHH</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Revocar una licencia aprobada sin solicitud del empleado; motivo obligatorio y auditoría reforzada.</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UC-11</w:t>
            </w:r>
          </w:p>
        </w:tc>
        <w:tc>
          <w:tcPr>
            <w:tcW w:type="dxa" w:w="1650"/>
            <w:tcMar>
              <w:top w:w="90" w:type="dxa"/>
              <w:start w:w="90" w:type="dxa"/>
              <w:bottom w:w="90" w:type="dxa"/>
              <w:end w:w="90" w:type="dxa"/>
            </w:tcMar>
            <w:vAlign w:val="top"/>
          </w:tcPr>
          <w:p>
            <w:pPr>
              <w:spacing w:after="0"/>
            </w:pPr>
            <w:r>
              <w:rPr>
                <w:rFonts w:ascii="Carlito" w:hAnsi="Carlito"/>
                <w:color w:val="233440"/>
                <w:sz w:val="15"/>
              </w:rPr>
              <w:t>Alta manual</w:t>
            </w:r>
          </w:p>
        </w:tc>
        <w:tc>
          <w:tcPr>
            <w:tcW w:type="dxa" w:w="1350"/>
            <w:tcMar>
              <w:top w:w="90" w:type="dxa"/>
              <w:start w:w="90" w:type="dxa"/>
              <w:bottom w:w="90" w:type="dxa"/>
              <w:end w:w="90" w:type="dxa"/>
            </w:tcMar>
            <w:vAlign w:val="top"/>
          </w:tcPr>
          <w:p>
            <w:pPr>
              <w:spacing w:after="0"/>
            </w:pPr>
            <w:r>
              <w:rPr>
                <w:rFonts w:ascii="Carlito" w:hAnsi="Carlito"/>
                <w:color w:val="233440"/>
                <w:sz w:val="15"/>
              </w:rPr>
              <w:t>Superior/RRHH</w:t>
            </w:r>
          </w:p>
        </w:tc>
        <w:tc>
          <w:tcPr>
            <w:tcW w:type="dxa" w:w="3150"/>
            <w:tcMar>
              <w:top w:w="90" w:type="dxa"/>
              <w:start w:w="90" w:type="dxa"/>
              <w:bottom w:w="90" w:type="dxa"/>
              <w:end w:w="90" w:type="dxa"/>
            </w:tcMar>
            <w:vAlign w:val="top"/>
          </w:tcPr>
          <w:p>
            <w:pPr>
              <w:spacing w:after="0"/>
            </w:pPr>
            <w:r>
              <w:rPr>
                <w:rFonts w:ascii="Carlito" w:hAnsi="Carlito"/>
                <w:color w:val="233440"/>
                <w:sz w:val="15"/>
              </w:rPr>
              <w:t>Crear licencia a nombre de un empleado dentro del alcance; puede quedar preaprobada según permiso.</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UC-12</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Ajustar saldo</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RRHH / rol habilitado</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Registrar crédito/débito manual con motivo y evidencia opcional, sin editar movimientos existentes.</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UC-13</w:t>
            </w:r>
          </w:p>
        </w:tc>
        <w:tc>
          <w:tcPr>
            <w:tcW w:type="dxa" w:w="1650"/>
            <w:tcMar>
              <w:top w:w="90" w:type="dxa"/>
              <w:start w:w="90" w:type="dxa"/>
              <w:bottom w:w="90" w:type="dxa"/>
              <w:end w:w="90" w:type="dxa"/>
            </w:tcMar>
            <w:vAlign w:val="top"/>
          </w:tcPr>
          <w:p>
            <w:pPr>
              <w:spacing w:after="0"/>
            </w:pPr>
            <w:r>
              <w:rPr>
                <w:rFonts w:ascii="Carlito" w:hAnsi="Carlito"/>
                <w:color w:val="233440"/>
                <w:sz w:val="15"/>
              </w:rPr>
              <w:t>Consultar equipo</w:t>
            </w:r>
          </w:p>
        </w:tc>
        <w:tc>
          <w:tcPr>
            <w:tcW w:type="dxa" w:w="1350"/>
            <w:tcMar>
              <w:top w:w="90" w:type="dxa"/>
              <w:start w:w="90" w:type="dxa"/>
              <w:bottom w:w="90" w:type="dxa"/>
              <w:end w:w="90" w:type="dxa"/>
            </w:tcMar>
            <w:vAlign w:val="top"/>
          </w:tcPr>
          <w:p>
            <w:pPr>
              <w:spacing w:after="0"/>
            </w:pPr>
            <w:r>
              <w:rPr>
                <w:rFonts w:ascii="Carlito" w:hAnsi="Carlito"/>
                <w:color w:val="233440"/>
                <w:sz w:val="15"/>
              </w:rPr>
              <w:t>Supervisor/Encargado</w:t>
            </w:r>
          </w:p>
        </w:tc>
        <w:tc>
          <w:tcPr>
            <w:tcW w:type="dxa" w:w="3150"/>
            <w:tcMar>
              <w:top w:w="90" w:type="dxa"/>
              <w:start w:w="90" w:type="dxa"/>
              <w:bottom w:w="90" w:type="dxa"/>
              <w:end w:w="90" w:type="dxa"/>
            </w:tcMar>
            <w:vAlign w:val="top"/>
          </w:tcPr>
          <w:p>
            <w:pPr>
              <w:spacing w:after="0"/>
            </w:pPr>
            <w:r>
              <w:rPr>
                <w:rFonts w:ascii="Carlito" w:hAnsi="Carlito"/>
                <w:color w:val="233440"/>
                <w:sz w:val="15"/>
              </w:rPr>
              <w:t>Ver personas, saldos permitidos, próximas ausencias y conflictos dentro del alcance.</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UC-14</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Calendario de equipo</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Supervisor/Encargado</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Visualizar ausencias aprobadas/pending según privacidad y detectar cobertura.</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UC-15</w:t>
            </w:r>
          </w:p>
        </w:tc>
        <w:tc>
          <w:tcPr>
            <w:tcW w:type="dxa" w:w="1650"/>
            <w:tcMar>
              <w:top w:w="90" w:type="dxa"/>
              <w:start w:w="90" w:type="dxa"/>
              <w:bottom w:w="90" w:type="dxa"/>
              <w:end w:w="90" w:type="dxa"/>
            </w:tcMar>
            <w:vAlign w:val="top"/>
          </w:tcPr>
          <w:p>
            <w:pPr>
              <w:spacing w:after="0"/>
            </w:pPr>
            <w:r>
              <w:rPr>
                <w:rFonts w:ascii="Carlito" w:hAnsi="Carlito"/>
                <w:color w:val="233440"/>
                <w:sz w:val="15"/>
              </w:rPr>
              <w:t>Gestionar políticas</w:t>
            </w:r>
          </w:p>
        </w:tc>
        <w:tc>
          <w:tcPr>
            <w:tcW w:type="dxa" w:w="1350"/>
            <w:tcMar>
              <w:top w:w="90" w:type="dxa"/>
              <w:start w:w="90" w:type="dxa"/>
              <w:bottom w:w="90" w:type="dxa"/>
              <w:end w:w="90" w:type="dxa"/>
            </w:tcMar>
            <w:vAlign w:val="top"/>
          </w:tcPr>
          <w:p>
            <w:pPr>
              <w:spacing w:after="0"/>
            </w:pPr>
            <w:r>
              <w:rPr>
                <w:rFonts w:ascii="Carlito" w:hAnsi="Carlito"/>
                <w:color w:val="233440"/>
                <w:sz w:val="15"/>
              </w:rPr>
              <w:t>RRHH</w:t>
            </w:r>
          </w:p>
        </w:tc>
        <w:tc>
          <w:tcPr>
            <w:tcW w:type="dxa" w:w="3150"/>
            <w:tcMar>
              <w:top w:w="90" w:type="dxa"/>
              <w:start w:w="90" w:type="dxa"/>
              <w:bottom w:w="90" w:type="dxa"/>
              <w:end w:w="90" w:type="dxa"/>
            </w:tcMar>
            <w:vAlign w:val="top"/>
          </w:tcPr>
          <w:p>
            <w:pPr>
              <w:spacing w:after="0"/>
            </w:pPr>
            <w:r>
              <w:rPr>
                <w:rFonts w:ascii="Carlito" w:hAnsi="Carlito"/>
                <w:color w:val="233440"/>
                <w:sz w:val="15"/>
              </w:rPr>
              <w:t>Crear nueva versión de política con vigencia futura y simular impacto.</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UC-16</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Gestionar organización</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RRHH/Admin</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Mantener unidades, responsables, alcances y excepciones delegadas.</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UC-17</w:t>
            </w:r>
          </w:p>
        </w:tc>
        <w:tc>
          <w:tcPr>
            <w:tcW w:type="dxa" w:w="1650"/>
            <w:tcMar>
              <w:top w:w="90" w:type="dxa"/>
              <w:start w:w="90" w:type="dxa"/>
              <w:bottom w:w="90" w:type="dxa"/>
              <w:end w:w="90" w:type="dxa"/>
            </w:tcMar>
            <w:vAlign w:val="top"/>
          </w:tcPr>
          <w:p>
            <w:pPr>
              <w:spacing w:after="0"/>
            </w:pPr>
            <w:r>
              <w:rPr>
                <w:rFonts w:ascii="Carlito" w:hAnsi="Carlito"/>
                <w:color w:val="233440"/>
                <w:sz w:val="15"/>
              </w:rPr>
              <w:t>Gestionar adjunto médico</w:t>
            </w:r>
          </w:p>
        </w:tc>
        <w:tc>
          <w:tcPr>
            <w:tcW w:type="dxa" w:w="1350"/>
            <w:tcMar>
              <w:top w:w="90" w:type="dxa"/>
              <w:start w:w="90" w:type="dxa"/>
              <w:bottom w:w="90" w:type="dxa"/>
              <w:end w:w="90" w:type="dxa"/>
            </w:tcMar>
            <w:vAlign w:val="top"/>
          </w:tcPr>
          <w:p>
            <w:pPr>
              <w:spacing w:after="0"/>
            </w:pPr>
            <w:r>
              <w:rPr>
                <w:rFonts w:ascii="Carlito" w:hAnsi="Carlito"/>
                <w:color w:val="233440"/>
                <w:sz w:val="15"/>
              </w:rPr>
              <w:t>Empleado/RRHH autorizado</w:t>
            </w:r>
          </w:p>
        </w:tc>
        <w:tc>
          <w:tcPr>
            <w:tcW w:type="dxa" w:w="3150"/>
            <w:tcMar>
              <w:top w:w="90" w:type="dxa"/>
              <w:start w:w="90" w:type="dxa"/>
              <w:bottom w:w="90" w:type="dxa"/>
              <w:end w:w="90" w:type="dxa"/>
            </w:tcMar>
            <w:vAlign w:val="top"/>
          </w:tcPr>
          <w:p>
            <w:pPr>
              <w:spacing w:after="0"/>
            </w:pPr>
            <w:r>
              <w:rPr>
                <w:rFonts w:ascii="Carlito" w:hAnsi="Carlito"/>
                <w:color w:val="233440"/>
                <w:sz w:val="15"/>
              </w:rPr>
              <w:t>Subir, descargar o visualizar comprobante según permiso y registrar acceso.</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UC-18</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Consultar auditoría</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RRHH/Admin</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Buscar eventos por usuario, entidad, período y acción; exportar evidencia básica.</w:t>
            </w:r>
          </w:p>
        </w:tc>
      </w:tr>
      <w:tr>
        <w:trPr>
          <w:cantSplit/>
        </w:trPr>
        <w:tc>
          <w:tcPr>
            <w:tcW w:type="dxa" w:w="650"/>
            <w:tcMar>
              <w:top w:w="90" w:type="dxa"/>
              <w:start w:w="90" w:type="dxa"/>
              <w:bottom w:w="90" w:type="dxa"/>
              <w:end w:w="90" w:type="dxa"/>
            </w:tcMar>
            <w:vAlign w:val="top"/>
          </w:tcPr>
          <w:p>
            <w:pPr>
              <w:spacing w:after="0"/>
            </w:pPr>
            <w:r>
              <w:rPr>
                <w:rFonts w:ascii="Carlito" w:hAnsi="Carlito"/>
                <w:color w:val="233440"/>
                <w:sz w:val="15"/>
              </w:rPr>
              <w:t>UC-19</w:t>
            </w:r>
          </w:p>
        </w:tc>
        <w:tc>
          <w:tcPr>
            <w:tcW w:type="dxa" w:w="1650"/>
            <w:tcMar>
              <w:top w:w="90" w:type="dxa"/>
              <w:start w:w="90" w:type="dxa"/>
              <w:bottom w:w="90" w:type="dxa"/>
              <w:end w:w="90" w:type="dxa"/>
            </w:tcMar>
            <w:vAlign w:val="top"/>
          </w:tcPr>
          <w:p>
            <w:pPr>
              <w:spacing w:after="0"/>
            </w:pPr>
            <w:r>
              <w:rPr>
                <w:rFonts w:ascii="Carlito" w:hAnsi="Carlito"/>
                <w:color w:val="233440"/>
                <w:sz w:val="15"/>
              </w:rPr>
              <w:t>Migrar datos SharePoint</w:t>
            </w:r>
          </w:p>
        </w:tc>
        <w:tc>
          <w:tcPr>
            <w:tcW w:type="dxa" w:w="1350"/>
            <w:tcMar>
              <w:top w:w="90" w:type="dxa"/>
              <w:start w:w="90" w:type="dxa"/>
              <w:bottom w:w="90" w:type="dxa"/>
              <w:end w:w="90" w:type="dxa"/>
            </w:tcMar>
            <w:vAlign w:val="top"/>
          </w:tcPr>
          <w:p>
            <w:pPr>
              <w:spacing w:after="0"/>
            </w:pPr>
            <w:r>
              <w:rPr>
                <w:rFonts w:ascii="Carlito" w:hAnsi="Carlito"/>
                <w:color w:val="233440"/>
                <w:sz w:val="15"/>
              </w:rPr>
              <w:t>Admin/Proceso técnico</w:t>
            </w:r>
          </w:p>
        </w:tc>
        <w:tc>
          <w:tcPr>
            <w:tcW w:type="dxa" w:w="3150"/>
            <w:tcMar>
              <w:top w:w="90" w:type="dxa"/>
              <w:start w:w="90" w:type="dxa"/>
              <w:bottom w:w="90" w:type="dxa"/>
              <w:end w:w="90" w:type="dxa"/>
            </w:tcMar>
            <w:vAlign w:val="top"/>
          </w:tcPr>
          <w:p>
            <w:pPr>
              <w:spacing w:after="0"/>
            </w:pPr>
            <w:r>
              <w:rPr>
                <w:rFonts w:ascii="Carlito" w:hAnsi="Carlito"/>
                <w:color w:val="233440"/>
                <w:sz w:val="15"/>
              </w:rPr>
              <w:t>Importar datos mapeados, validar recuentos y preservar identificadores de origen para trazabilidad.</w:t>
            </w:r>
          </w:p>
        </w:tc>
      </w:tr>
      <w:tr>
        <w:trPr>
          <w:cantSplit/>
        </w:trPr>
        <w:tc>
          <w:tcPr>
            <w:tcW w:type="dxa" w:w="650"/>
            <w:shd w:fill="FAFBFC"/>
            <w:tcMar>
              <w:top w:w="90" w:type="dxa"/>
              <w:start w:w="90" w:type="dxa"/>
              <w:bottom w:w="90" w:type="dxa"/>
              <w:end w:w="90" w:type="dxa"/>
            </w:tcMar>
            <w:vAlign w:val="top"/>
          </w:tcPr>
          <w:p>
            <w:pPr>
              <w:spacing w:after="0"/>
            </w:pPr>
            <w:r>
              <w:rPr>
                <w:rFonts w:ascii="Carlito" w:hAnsi="Carlito"/>
                <w:color w:val="233440"/>
                <w:sz w:val="15"/>
              </w:rPr>
              <w:t>UC-20</w:t>
            </w:r>
          </w:p>
        </w:tc>
        <w:tc>
          <w:tcPr>
            <w:tcW w:type="dxa" w:w="1650"/>
            <w:shd w:fill="FAFBFC"/>
            <w:tcMar>
              <w:top w:w="90" w:type="dxa"/>
              <w:start w:w="90" w:type="dxa"/>
              <w:bottom w:w="90" w:type="dxa"/>
              <w:end w:w="90" w:type="dxa"/>
            </w:tcMar>
            <w:vAlign w:val="top"/>
          </w:tcPr>
          <w:p>
            <w:pPr>
              <w:spacing w:after="0"/>
            </w:pPr>
            <w:r>
              <w:rPr>
                <w:rFonts w:ascii="Carlito" w:hAnsi="Carlito"/>
                <w:color w:val="233440"/>
                <w:sz w:val="15"/>
              </w:rPr>
              <w:t>Notificar cambios</w:t>
            </w:r>
          </w:p>
        </w:tc>
        <w:tc>
          <w:tcPr>
            <w:tcW w:type="dxa" w:w="1350"/>
            <w:shd w:fill="FAFBFC"/>
            <w:tcMar>
              <w:top w:w="90" w:type="dxa"/>
              <w:start w:w="90" w:type="dxa"/>
              <w:bottom w:w="90" w:type="dxa"/>
              <w:end w:w="90" w:type="dxa"/>
            </w:tcMar>
            <w:vAlign w:val="top"/>
          </w:tcPr>
          <w:p>
            <w:pPr>
              <w:spacing w:after="0"/>
            </w:pPr>
            <w:r>
              <w:rPr>
                <w:rFonts w:ascii="Carlito" w:hAnsi="Carlito"/>
                <w:color w:val="233440"/>
                <w:sz w:val="15"/>
              </w:rPr>
              <w:t>Sistema</w:t>
            </w:r>
          </w:p>
        </w:tc>
        <w:tc>
          <w:tcPr>
            <w:tcW w:type="dxa" w:w="3150"/>
            <w:shd w:fill="FAFBFC"/>
            <w:tcMar>
              <w:top w:w="90" w:type="dxa"/>
              <w:start w:w="90" w:type="dxa"/>
              <w:bottom w:w="90" w:type="dxa"/>
              <w:end w:w="90" w:type="dxa"/>
            </w:tcMar>
            <w:vAlign w:val="top"/>
          </w:tcPr>
          <w:p>
            <w:pPr>
              <w:spacing w:after="0"/>
            </w:pPr>
            <w:r>
              <w:rPr>
                <w:rFonts w:ascii="Carlito" w:hAnsi="Carlito"/>
                <w:color w:val="233440"/>
                <w:sz w:val="15"/>
              </w:rPr>
              <w:t>Enviar avisos de solicitud, decisión, cancelación, saldo o vencimientos por canales configurados.</w:t>
            </w:r>
          </w:p>
        </w:tc>
      </w:tr>
    </w:tbl>
    <w:p>
      <w:pPr>
        <w:spacing w:after="0"/>
      </w:pPr>
    </w:p>
    <w:p>
      <w:pPr>
        <w:pStyle w:val="Heading1"/>
      </w:pPr>
      <w:r>
        <w:t>7. Workflows y estados</w:t>
      </w:r>
    </w:p>
    <w:p>
      <w:pPr>
        <w:pStyle w:val="Heading2"/>
      </w:pPr>
      <w:r>
        <w:t>7.1 Ciclo de vida de una solicitud</w:t>
      </w:r>
    </w:p>
    <w:p>
      <w:pPr>
        <w:jc w:val="center"/>
      </w:pPr>
      <w:r>
        <w:drawing>
          <wp:inline xmlns:a="http://schemas.openxmlformats.org/drawingml/2006/main" xmlns:pic="http://schemas.openxmlformats.org/drawingml/2006/picture">
            <wp:extent cx="6035040" cy="1439764"/>
            <wp:docPr id="2" name="Picture 2"/>
            <wp:cNvGraphicFramePr>
              <a:graphicFrameLocks noChangeAspect="1"/>
            </wp:cNvGraphicFramePr>
            <a:graphic>
              <a:graphicData uri="http://schemas.openxmlformats.org/drawingml/2006/picture">
                <pic:pic>
                  <pic:nvPicPr>
                    <pic:cNvPr id="0" name="leave_flow.png"/>
                    <pic:cNvPicPr/>
                  </pic:nvPicPr>
                  <pic:blipFill>
                    <a:blip r:embed="rId12"/>
                    <a:stretch>
                      <a:fillRect/>
                    </a:stretch>
                  </pic:blipFill>
                  <pic:spPr>
                    <a:xfrm>
                      <a:off x="0" y="0"/>
                      <a:ext cx="6035040" cy="1439764"/>
                    </a:xfrm>
                    <a:prstGeom prst="rect"/>
                  </pic:spPr>
                </pic:pic>
              </a:graphicData>
            </a:graphic>
          </wp:inline>
        </w:drawing>
      </w:r>
    </w:p>
    <w:p>
      <w:pPr>
        <w:spacing w:after="140"/>
        <w:jc w:val="center"/>
      </w:pPr>
      <w:r>
        <w:rPr>
          <w:rFonts w:ascii="Carlito" w:hAnsi="Carlito"/>
          <w:i/>
          <w:color w:val="5A6973"/>
          <w:sz w:val="17"/>
        </w:rPr>
        <w:t>Figura 2. Estados principales de una solicitud de licencia.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00"/>
            <w:shd w:fill="294C60"/>
            <w:tcMar>
              <w:top w:w="90" w:type="dxa"/>
              <w:start w:w="90" w:type="dxa"/>
              <w:bottom w:w="90" w:type="dxa"/>
              <w:end w:w="90" w:type="dxa"/>
            </w:tcMar>
            <w:vAlign w:val="center"/>
          </w:tcPr>
          <w:p>
            <w:pPr>
              <w:jc w:val="left"/>
            </w:pPr>
            <w:r>
              <w:rPr>
                <w:rFonts w:ascii="Carlito" w:hAnsi="Carlito"/>
                <w:b/>
                <w:color w:val="FFFFFF"/>
                <w:sz w:val="17"/>
              </w:rPr>
              <w:t>Estado</w:t>
            </w:r>
          </w:p>
        </w:tc>
        <w:tc>
          <w:tcPr>
            <w:tcW w:type="dxa" w:w="4800"/>
            <w:shd w:fill="294C60"/>
            <w:tcMar>
              <w:top w:w="90" w:type="dxa"/>
              <w:start w:w="90" w:type="dxa"/>
              <w:bottom w:w="90" w:type="dxa"/>
              <w:end w:w="90" w:type="dxa"/>
            </w:tcMar>
            <w:vAlign w:val="center"/>
          </w:tcPr>
          <w:p>
            <w:pPr>
              <w:jc w:val="left"/>
            </w:pPr>
            <w:r>
              <w:rPr>
                <w:rFonts w:ascii="Carlito" w:hAnsi="Carlito"/>
                <w:b/>
                <w:color w:val="FFFFFF"/>
                <w:sz w:val="17"/>
              </w:rPr>
              <w:t>Significado</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7"/>
              </w:rPr>
              <w:t>DRAFT</w:t>
            </w:r>
          </w:p>
        </w:tc>
        <w:tc>
          <w:tcPr>
            <w:tcW w:type="dxa" w:w="4800"/>
            <w:tcMar>
              <w:top w:w="90" w:type="dxa"/>
              <w:start w:w="90" w:type="dxa"/>
              <w:bottom w:w="90" w:type="dxa"/>
              <w:end w:w="90" w:type="dxa"/>
            </w:tcMar>
            <w:vAlign w:val="top"/>
          </w:tcPr>
          <w:p>
            <w:pPr>
              <w:spacing w:after="0"/>
            </w:pPr>
            <w:r>
              <w:rPr>
                <w:rFonts w:ascii="Carlito" w:hAnsi="Carlito"/>
                <w:color w:val="233440"/>
                <w:sz w:val="17"/>
              </w:rPr>
              <w:t>Borrador no enviado. No inicia aprobación ni consume/reserva saldo.</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7"/>
              </w:rPr>
              <w:t>PENDING_APPROVAL</w:t>
            </w:r>
          </w:p>
        </w:tc>
        <w:tc>
          <w:tcPr>
            <w:tcW w:type="dxa" w:w="4800"/>
            <w:shd w:fill="FAFBFC"/>
            <w:tcMar>
              <w:top w:w="90" w:type="dxa"/>
              <w:start w:w="90" w:type="dxa"/>
              <w:bottom w:w="90" w:type="dxa"/>
              <w:end w:w="90" w:type="dxa"/>
            </w:tcMar>
            <w:vAlign w:val="top"/>
          </w:tcPr>
          <w:p>
            <w:pPr>
              <w:spacing w:after="0"/>
            </w:pPr>
            <w:r>
              <w:rPr>
                <w:rFonts w:ascii="Carlito" w:hAnsi="Carlito"/>
                <w:color w:val="233440"/>
                <w:sz w:val="17"/>
              </w:rPr>
              <w:t>Solicitud enviada y pendiente de uno o más pasos de aprobación.</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7"/>
              </w:rPr>
              <w:t>APPROVED</w:t>
            </w:r>
          </w:p>
        </w:tc>
        <w:tc>
          <w:tcPr>
            <w:tcW w:type="dxa" w:w="4800"/>
            <w:tcMar>
              <w:top w:w="90" w:type="dxa"/>
              <w:start w:w="90" w:type="dxa"/>
              <w:bottom w:w="90" w:type="dxa"/>
              <w:end w:w="90" w:type="dxa"/>
            </w:tcMar>
            <w:vAlign w:val="top"/>
          </w:tcPr>
          <w:p>
            <w:pPr>
              <w:spacing w:after="0"/>
            </w:pPr>
            <w:r>
              <w:rPr>
                <w:rFonts w:ascii="Carlito" w:hAnsi="Carlito"/>
                <w:color w:val="233440"/>
                <w:sz w:val="17"/>
              </w:rPr>
              <w:t>Solicitud aprobada. Saldo consumido cuando corresponda.</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7"/>
              </w:rPr>
              <w:t>REJECTED</w:t>
            </w:r>
          </w:p>
        </w:tc>
        <w:tc>
          <w:tcPr>
            <w:tcW w:type="dxa" w:w="4800"/>
            <w:shd w:fill="FAFBFC"/>
            <w:tcMar>
              <w:top w:w="90" w:type="dxa"/>
              <w:start w:w="90" w:type="dxa"/>
              <w:bottom w:w="90" w:type="dxa"/>
              <w:end w:w="90" w:type="dxa"/>
            </w:tcMar>
            <w:vAlign w:val="top"/>
          </w:tcPr>
          <w:p>
            <w:pPr>
              <w:spacing w:after="0"/>
            </w:pPr>
            <w:r>
              <w:rPr>
                <w:rFonts w:ascii="Carlito" w:hAnsi="Carlito"/>
                <w:color w:val="233440"/>
                <w:sz w:val="17"/>
              </w:rPr>
              <w:t>Solicitud rechazada. Se libera cualquier reserva.</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7"/>
              </w:rPr>
              <w:t>CANCELLATION_REQUESTED</w:t>
            </w:r>
          </w:p>
        </w:tc>
        <w:tc>
          <w:tcPr>
            <w:tcW w:type="dxa" w:w="4800"/>
            <w:tcMar>
              <w:top w:w="90" w:type="dxa"/>
              <w:start w:w="90" w:type="dxa"/>
              <w:bottom w:w="90" w:type="dxa"/>
              <w:end w:w="90" w:type="dxa"/>
            </w:tcMar>
            <w:vAlign w:val="top"/>
          </w:tcPr>
          <w:p>
            <w:pPr>
              <w:spacing w:after="0"/>
            </w:pPr>
            <w:r>
              <w:rPr>
                <w:rFonts w:ascii="Carlito" w:hAnsi="Carlito"/>
                <w:color w:val="233440"/>
                <w:sz w:val="17"/>
              </w:rPr>
              <w:t>Empleado solicitó cancelar una aprobada. Aún se considera vigente hasta resolución.</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7"/>
              </w:rPr>
              <w:t>CANCELLED</w:t>
            </w:r>
          </w:p>
        </w:tc>
        <w:tc>
          <w:tcPr>
            <w:tcW w:type="dxa" w:w="4800"/>
            <w:shd w:fill="FAFBFC"/>
            <w:tcMar>
              <w:top w:w="90" w:type="dxa"/>
              <w:start w:w="90" w:type="dxa"/>
              <w:bottom w:w="90" w:type="dxa"/>
              <w:end w:w="90" w:type="dxa"/>
            </w:tcMar>
            <w:vAlign w:val="top"/>
          </w:tcPr>
          <w:p>
            <w:pPr>
              <w:spacing w:after="0"/>
            </w:pPr>
            <w:r>
              <w:rPr>
                <w:rFonts w:ascii="Carlito" w:hAnsi="Carlito"/>
                <w:color w:val="233440"/>
                <w:sz w:val="17"/>
              </w:rPr>
              <w:t>Cancelación aprobada; se devuelve saldo según política.</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7"/>
              </w:rPr>
              <w:t>REVOKED</w:t>
            </w:r>
          </w:p>
        </w:tc>
        <w:tc>
          <w:tcPr>
            <w:tcW w:type="dxa" w:w="4800"/>
            <w:tcMar>
              <w:top w:w="90" w:type="dxa"/>
              <w:start w:w="90" w:type="dxa"/>
              <w:bottom w:w="90" w:type="dxa"/>
              <w:end w:w="90" w:type="dxa"/>
            </w:tcMar>
            <w:vAlign w:val="top"/>
          </w:tcPr>
          <w:p>
            <w:pPr>
              <w:spacing w:after="0"/>
            </w:pPr>
            <w:r>
              <w:rPr>
                <w:rFonts w:ascii="Carlito" w:hAnsi="Carlito"/>
                <w:color w:val="233440"/>
                <w:sz w:val="17"/>
              </w:rPr>
              <w:t>Revocación iniciada por autoridad habilitada. Motivo obligatorio.</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7"/>
              </w:rPr>
              <w:t>COMPLETED</w:t>
            </w:r>
          </w:p>
        </w:tc>
        <w:tc>
          <w:tcPr>
            <w:tcW w:type="dxa" w:w="4800"/>
            <w:shd w:fill="FAFBFC"/>
            <w:tcMar>
              <w:top w:w="90" w:type="dxa"/>
              <w:start w:w="90" w:type="dxa"/>
              <w:bottom w:w="90" w:type="dxa"/>
              <w:end w:w="90" w:type="dxa"/>
            </w:tcMar>
            <w:vAlign w:val="top"/>
          </w:tcPr>
          <w:p>
            <w:pPr>
              <w:spacing w:after="0"/>
            </w:pPr>
            <w:r>
              <w:rPr>
                <w:rFonts w:ascii="Carlito" w:hAnsi="Carlito"/>
                <w:color w:val="233440"/>
                <w:sz w:val="17"/>
              </w:rPr>
              <w:t>Período de licencia finalizado; estado terminal operativo opcional.</w:t>
            </w:r>
          </w:p>
        </w:tc>
      </w:tr>
    </w:tbl>
    <w:p>
      <w:pPr>
        <w:spacing w:after="0"/>
      </w:pPr>
    </w:p>
    <w:p>
      <w:pPr>
        <w:pStyle w:val="Heading2"/>
      </w:pPr>
      <w:r>
        <w:t>7.2 Flujo de aprobación</w:t>
      </w:r>
    </w:p>
    <w:p>
      <w:pPr>
        <w:spacing w:after="60"/>
        <w:ind w:left="29" w:hanging="29"/>
      </w:pPr>
      <w:r>
        <w:rPr>
          <w:rFonts w:ascii="Carlito" w:hAnsi="Carlito"/>
          <w:b/>
          <w:color w:val="233440"/>
          <w:sz w:val="20"/>
        </w:rPr>
        <w:t xml:space="preserve">1.   </w:t>
      </w:r>
      <w:r>
        <w:rPr>
          <w:rFonts w:ascii="Carlito" w:hAnsi="Carlito"/>
          <w:color w:val="233440"/>
          <w:sz w:val="20"/>
        </w:rPr>
        <w:t>El empleado completa una solicitud y el frontend solicita una prevalidación al backend.</w:t>
      </w:r>
    </w:p>
    <w:p>
      <w:pPr>
        <w:spacing w:after="60"/>
        <w:ind w:left="29" w:hanging="29"/>
      </w:pPr>
      <w:r>
        <w:rPr>
          <w:rFonts w:ascii="Carlito" w:hAnsi="Carlito"/>
          <w:b/>
          <w:color w:val="233440"/>
          <w:sz w:val="20"/>
        </w:rPr>
        <w:t xml:space="preserve">2.   </w:t>
      </w:r>
      <w:r>
        <w:rPr>
          <w:rFonts w:ascii="Carlito" w:hAnsi="Carlito"/>
          <w:color w:val="233440"/>
          <w:sz w:val="20"/>
        </w:rPr>
        <w:t>El backend resuelve política vigente, calendario, saldo y conflictos de solapamiento/capacidad.</w:t>
      </w:r>
    </w:p>
    <w:p>
      <w:pPr>
        <w:spacing w:after="60"/>
        <w:ind w:left="29" w:hanging="29"/>
      </w:pPr>
      <w:r>
        <w:rPr>
          <w:rFonts w:ascii="Carlito" w:hAnsi="Carlito"/>
          <w:b/>
          <w:color w:val="233440"/>
          <w:sz w:val="20"/>
        </w:rPr>
        <w:t xml:space="preserve">3.   </w:t>
      </w:r>
      <w:r>
        <w:rPr>
          <w:rFonts w:ascii="Carlito" w:hAnsi="Carlito"/>
          <w:color w:val="233440"/>
          <w:sz w:val="20"/>
        </w:rPr>
        <w:t>Al enviar, una transacción crea la solicitud, reserva saldo si aplica y crea la instancia de aprobación.</w:t>
      </w:r>
    </w:p>
    <w:p>
      <w:pPr>
        <w:spacing w:after="60"/>
        <w:ind w:left="29" w:hanging="29"/>
      </w:pPr>
      <w:r>
        <w:rPr>
          <w:rFonts w:ascii="Carlito" w:hAnsi="Carlito"/>
          <w:b/>
          <w:color w:val="233440"/>
          <w:sz w:val="20"/>
        </w:rPr>
        <w:t xml:space="preserve">4.   </w:t>
      </w:r>
      <w:r>
        <w:rPr>
          <w:rFonts w:ascii="Carlito" w:hAnsi="Carlito"/>
          <w:color w:val="233440"/>
          <w:sz w:val="20"/>
        </w:rPr>
        <w:t>El motor resuelve el aprobador del primer paso según estructura y política.</w:t>
      </w:r>
    </w:p>
    <w:p>
      <w:pPr>
        <w:spacing w:after="60"/>
        <w:ind w:left="29" w:hanging="29"/>
      </w:pPr>
      <w:r>
        <w:rPr>
          <w:rFonts w:ascii="Carlito" w:hAnsi="Carlito"/>
          <w:b/>
          <w:color w:val="233440"/>
          <w:sz w:val="20"/>
        </w:rPr>
        <w:t xml:space="preserve">5.   </w:t>
      </w:r>
      <w:r>
        <w:rPr>
          <w:rFonts w:ascii="Carlito" w:hAnsi="Carlito"/>
          <w:color w:val="233440"/>
          <w:sz w:val="20"/>
        </w:rPr>
        <w:t>Cada decisión se guarda como evento inmutable con actor, fecha, comentario y contexto.</w:t>
      </w:r>
    </w:p>
    <w:p>
      <w:pPr>
        <w:spacing w:after="60"/>
        <w:ind w:left="29" w:hanging="29"/>
      </w:pPr>
      <w:r>
        <w:rPr>
          <w:rFonts w:ascii="Carlito" w:hAnsi="Carlito"/>
          <w:b/>
          <w:color w:val="233440"/>
          <w:sz w:val="20"/>
        </w:rPr>
        <w:t xml:space="preserve">6.   </w:t>
      </w:r>
      <w:r>
        <w:rPr>
          <w:rFonts w:ascii="Carlito" w:hAnsi="Carlito"/>
          <w:color w:val="233440"/>
          <w:sz w:val="20"/>
        </w:rPr>
        <w:t>Al completarse todos los pasos, la reserva se convierte en consumo. Si se rechaza, se libera.</w:t>
      </w:r>
    </w:p>
    <w:p>
      <w:pPr>
        <w:spacing w:after="60"/>
        <w:ind w:left="29" w:hanging="29"/>
      </w:pPr>
      <w:r>
        <w:rPr>
          <w:rFonts w:ascii="Carlito" w:hAnsi="Carlito"/>
          <w:b/>
          <w:color w:val="233440"/>
          <w:sz w:val="20"/>
        </w:rPr>
        <w:t xml:space="preserve">7.   </w:t>
      </w:r>
      <w:r>
        <w:rPr>
          <w:rFonts w:ascii="Carlito" w:hAnsi="Carlito"/>
          <w:color w:val="233440"/>
          <w:sz w:val="20"/>
        </w:rPr>
        <w:t>El sistema registra evento de dominio/outbox para notificación sin afectar la transacción principal si el canal de aviso falla.</w:t>
      </w:r>
    </w:p>
    <w:p>
      <w:pPr>
        <w:pStyle w:val="Heading2"/>
      </w:pPr>
      <w:r>
        <w:t>7.3 Flujo de cancelación</w:t>
      </w:r>
    </w:p>
    <w:p>
      <w:pPr>
        <w:spacing w:after="120" w:line="259" w:lineRule="auto"/>
      </w:pPr>
      <w:r>
        <w:rPr>
          <w:rFonts w:ascii="Carlito" w:hAnsi="Carlito"/>
          <w:color w:val="233440"/>
          <w:sz w:val="20"/>
        </w:rPr>
        <w:t>Una solicitud de cancelación no elimina ni modifica directamente la licencia aprobada. Se crea una transición separada. Mientras esté pendiente, la ausencia continúa visible como aprobada con indicador de “cancelación solicitada”. Solo cuando la cancelación es aprobada se libera/devolve el saldo y se cambia el estado a CANCELLED.</w:t>
      </w:r>
    </w:p>
    <w:p>
      <w:pPr>
        <w:pStyle w:val="Heading2"/>
      </w:pPr>
      <w:r>
        <w:t>7.4 Revocación</w:t>
      </w:r>
    </w:p>
    <w:p>
      <w:pPr>
        <w:spacing w:after="120" w:line="259" w:lineRule="auto"/>
      </w:pPr>
      <w:r>
        <w:rPr>
          <w:rFonts w:ascii="Carlito" w:hAnsi="Carlito"/>
          <w:color w:val="233440"/>
          <w:sz w:val="20"/>
        </w:rPr>
        <w:t>La revocación es una acción administrativa distinta de la cancelación. Puede ser iniciada por un supervisor/encargado/RRHH habilitado y requiere motivo obligatorio. La política define si devuelve la totalidad, una parte o ningún saldo según fecha y situación.</w:t>
      </w:r>
    </w:p>
    <w:p>
      <w:pPr>
        <w:pStyle w:val="Heading1"/>
      </w:pPr>
      <w:r>
        <w:t>8. Modelo de datos</w:t>
      </w:r>
    </w:p>
    <w:p>
      <w:pPr>
        <w:jc w:val="center"/>
      </w:pPr>
      <w:r>
        <w:drawing>
          <wp:inline xmlns:a="http://schemas.openxmlformats.org/drawingml/2006/main" xmlns:pic="http://schemas.openxmlformats.org/drawingml/2006/picture">
            <wp:extent cx="6080760" cy="4103248"/>
            <wp:docPr id="3" name="Picture 3"/>
            <wp:cNvGraphicFramePr>
              <a:graphicFrameLocks noChangeAspect="1"/>
            </wp:cNvGraphicFramePr>
            <a:graphic>
              <a:graphicData uri="http://schemas.openxmlformats.org/drawingml/2006/picture">
                <pic:pic>
                  <pic:nvPicPr>
                    <pic:cNvPr id="0" name="erd.png"/>
                    <pic:cNvPicPr/>
                  </pic:nvPicPr>
                  <pic:blipFill>
                    <a:blip r:embed="rId13"/>
                    <a:stretch>
                      <a:fillRect/>
                    </a:stretch>
                  </pic:blipFill>
                  <pic:spPr>
                    <a:xfrm>
                      <a:off x="0" y="0"/>
                      <a:ext cx="6080760" cy="4103248"/>
                    </a:xfrm>
                    <a:prstGeom prst="rect"/>
                  </pic:spPr>
                </pic:pic>
              </a:graphicData>
            </a:graphic>
          </wp:inline>
        </w:drawing>
      </w:r>
    </w:p>
    <w:p>
      <w:pPr>
        <w:spacing w:after="140"/>
        <w:jc w:val="center"/>
      </w:pPr>
      <w:r>
        <w:rPr>
          <w:rFonts w:ascii="Carlito" w:hAnsi="Carlito"/>
          <w:i/>
          <w:color w:val="5A6973"/>
          <w:sz w:val="17"/>
        </w:rPr>
        <w:t>Figura 3. Modelo lógico simplificado de entidades principales.</w:t>
      </w:r>
    </w:p>
    <w:p>
      <w:pPr>
        <w:pStyle w:val="Heading2"/>
      </w:pPr>
      <w:r>
        <w:t>8.1 Entidades principales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00"/>
            <w:shd w:fill="294C60"/>
            <w:tcMar>
              <w:top w:w="90" w:type="dxa"/>
              <w:start w:w="90" w:type="dxa"/>
              <w:bottom w:w="90" w:type="dxa"/>
              <w:end w:w="90" w:type="dxa"/>
            </w:tcMar>
            <w:vAlign w:val="center"/>
          </w:tcPr>
          <w:p>
            <w:pPr>
              <w:jc w:val="left"/>
            </w:pPr>
            <w:r>
              <w:rPr>
                <w:rFonts w:ascii="Carlito" w:hAnsi="Carlito"/>
                <w:b/>
                <w:color w:val="FFFFFF"/>
                <w:sz w:val="17"/>
              </w:rPr>
              <w:t>Entidad</w:t>
            </w:r>
          </w:p>
        </w:tc>
        <w:tc>
          <w:tcPr>
            <w:tcW w:type="dxa" w:w="4700"/>
            <w:shd w:fill="294C60"/>
            <w:tcMar>
              <w:top w:w="90" w:type="dxa"/>
              <w:start w:w="90" w:type="dxa"/>
              <w:bottom w:w="90" w:type="dxa"/>
              <w:end w:w="90" w:type="dxa"/>
            </w:tcMar>
            <w:vAlign w:val="center"/>
          </w:tcPr>
          <w:p>
            <w:pPr>
              <w:jc w:val="left"/>
            </w:pPr>
            <w:r>
              <w:rPr>
                <w:rFonts w:ascii="Carlito" w:hAnsi="Carlito"/>
                <w:b/>
                <w:color w:val="FFFFFF"/>
                <w:sz w:val="17"/>
              </w:rPr>
              <w:t>Responsabilidad</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User</w:t>
            </w:r>
          </w:p>
        </w:tc>
        <w:tc>
          <w:tcPr>
            <w:tcW w:type="dxa" w:w="4700"/>
            <w:tcMar>
              <w:top w:w="90" w:type="dxa"/>
              <w:start w:w="90" w:type="dxa"/>
              <w:bottom w:w="90" w:type="dxa"/>
              <w:end w:w="90" w:type="dxa"/>
            </w:tcMar>
            <w:vAlign w:val="top"/>
          </w:tcPr>
          <w:p>
            <w:pPr>
              <w:spacing w:after="0"/>
            </w:pPr>
            <w:r>
              <w:rPr>
                <w:rFonts w:ascii="Carlito" w:hAnsi="Carlito"/>
                <w:color w:val="233440"/>
                <w:sz w:val="17"/>
              </w:rPr>
              <w:t>Perfil local vinculado a entraObjectId. No almacena contraseña corporativa.</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OrgUnit</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Árbol de unidades organizacionales mediante parentId.</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UserOrgAssignment</w:t>
            </w:r>
          </w:p>
        </w:tc>
        <w:tc>
          <w:tcPr>
            <w:tcW w:type="dxa" w:w="4700"/>
            <w:tcMar>
              <w:top w:w="90" w:type="dxa"/>
              <w:start w:w="90" w:type="dxa"/>
              <w:bottom w:w="90" w:type="dxa"/>
              <w:end w:w="90" w:type="dxa"/>
            </w:tcMar>
            <w:vAlign w:val="top"/>
          </w:tcPr>
          <w:p>
            <w:pPr>
              <w:spacing w:after="0"/>
            </w:pPr>
            <w:r>
              <w:rPr>
                <w:rFonts w:ascii="Carlito" w:hAnsi="Carlito"/>
                <w:color w:val="233440"/>
                <w:sz w:val="17"/>
              </w:rPr>
              <w:t>Pertenencia de personas a unidades y condición principal/secundaria.</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Role / Permission</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Catálogo RBAC de capacidades funcionales.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ScopeAssignment</w:t>
            </w:r>
          </w:p>
        </w:tc>
        <w:tc>
          <w:tcPr>
            <w:tcW w:type="dxa" w:w="4700"/>
            <w:tcMar>
              <w:top w:w="90" w:type="dxa"/>
              <w:start w:w="90" w:type="dxa"/>
              <w:bottom w:w="90" w:type="dxa"/>
              <w:end w:w="90" w:type="dxa"/>
            </w:tcMar>
            <w:vAlign w:val="top"/>
          </w:tcPr>
          <w:p>
            <w:pPr>
              <w:spacing w:after="0"/>
            </w:pPr>
            <w:r>
              <w:rPr>
                <w:rFonts w:ascii="Carlito" w:hAnsi="Carlito"/>
                <w:color w:val="233440"/>
                <w:sz w:val="17"/>
              </w:rPr>
              <w:t>Asocia usuario + rol + unidad raíz + inclusión de descendientes.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LeaveType</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Tipo de licencia visible al usuario. Puede o no consumir un bucket de saldo.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BalanceBucketType</w:t>
            </w:r>
          </w:p>
        </w:tc>
        <w:tc>
          <w:tcPr>
            <w:tcW w:type="dxa" w:w="4700"/>
            <w:tcMar>
              <w:top w:w="90" w:type="dxa"/>
              <w:start w:w="90" w:type="dxa"/>
              <w:bottom w:w="90" w:type="dxa"/>
              <w:end w:w="90" w:type="dxa"/>
            </w:tcMar>
            <w:vAlign w:val="top"/>
          </w:tcPr>
          <w:p>
            <w:pPr>
              <w:spacing w:after="0"/>
            </w:pPr>
            <w:r>
              <w:rPr>
                <w:rFonts w:ascii="Carlito" w:hAnsi="Carlito"/>
                <w:color w:val="233440"/>
                <w:sz w:val="17"/>
              </w:rPr>
              <w:t>Concepto de saldo independiente: vacaciones, estudio, exámenes médicos, etc.</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LeavePolicyVersion</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Versión efectiva de reglas por tipo/unidad y rango de fechas.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HolidayCalendar / Holiday</w:t>
            </w:r>
          </w:p>
        </w:tc>
        <w:tc>
          <w:tcPr>
            <w:tcW w:type="dxa" w:w="4700"/>
            <w:tcMar>
              <w:top w:w="90" w:type="dxa"/>
              <w:start w:w="90" w:type="dxa"/>
              <w:bottom w:w="90" w:type="dxa"/>
              <w:end w:w="90" w:type="dxa"/>
            </w:tcMar>
            <w:vAlign w:val="top"/>
          </w:tcPr>
          <w:p>
            <w:pPr>
              <w:spacing w:after="0"/>
            </w:pPr>
            <w:r>
              <w:rPr>
                <w:rFonts w:ascii="Carlito" w:hAnsi="Carlito"/>
                <w:color w:val="233440"/>
                <w:sz w:val="17"/>
              </w:rPr>
              <w:t>Calendarios de feriados asignables.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LeaveRequest</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Solicitud con fechas, segmentos AM/PM, días calculados, política aplicada y estado.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LeaveRequestDay</w:t>
            </w:r>
          </w:p>
        </w:tc>
        <w:tc>
          <w:tcPr>
            <w:tcW w:type="dxa" w:w="4700"/>
            <w:tcMar>
              <w:top w:w="90" w:type="dxa"/>
              <w:start w:w="90" w:type="dxa"/>
              <w:bottom w:w="90" w:type="dxa"/>
              <w:end w:w="90" w:type="dxa"/>
            </w:tcMar>
            <w:vAlign w:val="top"/>
          </w:tcPr>
          <w:p>
            <w:pPr>
              <w:spacing w:after="0"/>
            </w:pPr>
            <w:r>
              <w:rPr>
                <w:rFonts w:ascii="Carlito" w:hAnsi="Carlito"/>
                <w:color w:val="233440"/>
                <w:sz w:val="17"/>
              </w:rPr>
              <w:t>Detalle opcional por fecha para cálculos complejos y medios días.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ApprovalInstance / ApprovalStep</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Instancia concreta del workflow y aprobadores resueltos.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ApprovalDecision</w:t>
            </w:r>
          </w:p>
        </w:tc>
        <w:tc>
          <w:tcPr>
            <w:tcW w:type="dxa" w:w="4700"/>
            <w:tcMar>
              <w:top w:w="90" w:type="dxa"/>
              <w:start w:w="90" w:type="dxa"/>
              <w:bottom w:w="90" w:type="dxa"/>
              <w:end w:w="90" w:type="dxa"/>
            </w:tcMar>
            <w:vAlign w:val="top"/>
          </w:tcPr>
          <w:p>
            <w:pPr>
              <w:spacing w:after="0"/>
            </w:pPr>
            <w:r>
              <w:rPr>
                <w:rFonts w:ascii="Carlito" w:hAnsi="Carlito"/>
                <w:color w:val="233440"/>
                <w:sz w:val="17"/>
              </w:rPr>
              <w:t>Decisión inmutable de cada aprobador.</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BalanceAccount</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Cuenta por usuario, bucket y período.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BalanceTransaction</w:t>
            </w:r>
          </w:p>
        </w:tc>
        <w:tc>
          <w:tcPr>
            <w:tcW w:type="dxa" w:w="4700"/>
            <w:tcMar>
              <w:top w:w="90" w:type="dxa"/>
              <w:start w:w="90" w:type="dxa"/>
              <w:bottom w:w="90" w:type="dxa"/>
              <w:end w:w="90" w:type="dxa"/>
            </w:tcMar>
            <w:vAlign w:val="top"/>
          </w:tcPr>
          <w:p>
            <w:pPr>
              <w:spacing w:after="0"/>
            </w:pPr>
            <w:r>
              <w:rPr>
                <w:rFonts w:ascii="Carlito" w:hAnsi="Carlito"/>
                <w:color w:val="233440"/>
                <w:sz w:val="17"/>
              </w:rPr>
              <w:t>Ledger inmutable de créditos, reservas, consumos, liberaciones, devoluciones y ajustes.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Comment</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Comentarios de solicitud con autor y visibilidad.</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Attachment</w:t>
            </w:r>
          </w:p>
        </w:tc>
        <w:tc>
          <w:tcPr>
            <w:tcW w:type="dxa" w:w="4700"/>
            <w:tcMar>
              <w:top w:w="90" w:type="dxa"/>
              <w:start w:w="90" w:type="dxa"/>
              <w:bottom w:w="90" w:type="dxa"/>
              <w:end w:w="90" w:type="dxa"/>
            </w:tcMar>
            <w:vAlign w:val="top"/>
          </w:tcPr>
          <w:p>
            <w:pPr>
              <w:spacing w:after="0"/>
            </w:pPr>
            <w:r>
              <w:rPr>
                <w:rFonts w:ascii="Carlito" w:hAnsi="Carlito"/>
                <w:color w:val="233440"/>
                <w:sz w:val="17"/>
              </w:rPr>
              <w:t>Metadatos del documento; los bytes residen en storage privado.</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AuditEvent</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Registro de acciones relevantes y cambios de datos.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NotificationOutbox</w:t>
            </w:r>
          </w:p>
        </w:tc>
        <w:tc>
          <w:tcPr>
            <w:tcW w:type="dxa" w:w="4700"/>
            <w:tcMar>
              <w:top w:w="90" w:type="dxa"/>
              <w:start w:w="90" w:type="dxa"/>
              <w:bottom w:w="90" w:type="dxa"/>
              <w:end w:w="90" w:type="dxa"/>
            </w:tcMar>
            <w:vAlign w:val="top"/>
          </w:tcPr>
          <w:p>
            <w:pPr>
              <w:spacing w:after="0"/>
            </w:pPr>
            <w:r>
              <w:rPr>
                <w:rFonts w:ascii="Carlito" w:hAnsi="Carlito"/>
                <w:color w:val="233440"/>
                <w:sz w:val="17"/>
              </w:rPr>
              <w:t>Eventos pendientes de notificación para entrega confiable.</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MigrationMapping</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Relación entre IDs de SharePoint y IDs internos para reconciliación.</w:t>
            </w:r>
          </w:p>
        </w:tc>
      </w:tr>
    </w:tbl>
    <w:p>
      <w:pPr>
        <w:spacing w:after="0"/>
      </w:pPr>
    </w:p>
    <w:p>
      <w:pPr>
        <w:pStyle w:val="Heading2"/>
      </w:pPr>
      <w:r>
        <w:t>8.2 Integridad y concurrencia</w:t>
      </w:r>
    </w:p>
    <w:p>
      <w:pPr>
        <w:pStyle w:val="ListBullet"/>
        <w:spacing w:after="60"/>
      </w:pPr>
      <w:r>
        <w:rPr>
          <w:rFonts w:ascii="Carlito" w:hAnsi="Carlito"/>
          <w:color w:val="233440"/>
          <w:sz w:val="20"/>
        </w:rPr>
        <w:t>Las operaciones que afecten solicitud, aprobación y saldo se ejecutan en transacciones de base de datos.</w:t>
      </w:r>
    </w:p>
    <w:p>
      <w:pPr>
        <w:pStyle w:val="ListBullet"/>
        <w:spacing w:after="60"/>
      </w:pPr>
      <w:r>
        <w:rPr>
          <w:rFonts w:ascii="Carlito" w:hAnsi="Carlito"/>
          <w:color w:val="233440"/>
          <w:sz w:val="20"/>
        </w:rPr>
        <w:t>Se aplicará control de concurrencia optimista (row version / xmin u otra estrategia) para evitar doble aprobación o doble consumo.</w:t>
      </w:r>
    </w:p>
    <w:p>
      <w:pPr>
        <w:pStyle w:val="ListBullet"/>
        <w:spacing w:after="60"/>
      </w:pPr>
      <w:r>
        <w:rPr>
          <w:rFonts w:ascii="Carlito" w:hAnsi="Carlito"/>
          <w:color w:val="233440"/>
          <w:sz w:val="20"/>
        </w:rPr>
        <w:t>Los movimientos de saldo no se actualizan ni eliminan; los errores se corrigen mediante movimientos compensatorios.</w:t>
      </w:r>
    </w:p>
    <w:p>
      <w:pPr>
        <w:pStyle w:val="ListBullet"/>
        <w:spacing w:after="60"/>
      </w:pPr>
      <w:r>
        <w:rPr>
          <w:rFonts w:ascii="Carlito" w:hAnsi="Carlito"/>
          <w:color w:val="233440"/>
          <w:sz w:val="20"/>
        </w:rPr>
        <w:t>Se utilizarán índices por usuario, unidad, estado, fecha, tipo de licencia y período para consultas frecuentes.</w:t>
      </w:r>
    </w:p>
    <w:p>
      <w:pPr>
        <w:pStyle w:val="ListBullet"/>
        <w:spacing w:after="60"/>
      </w:pPr>
      <w:r>
        <w:rPr>
          <w:rFonts w:ascii="Carlito" w:hAnsi="Carlito"/>
          <w:color w:val="233440"/>
          <w:sz w:val="20"/>
        </w:rPr>
        <w:t>Las reglas versionadas guardan effectiveFrom/effectiveTo y la solicitud referencia la versión aplicada.</w:t>
      </w:r>
    </w:p>
    <w:p>
      <w:pPr>
        <w:pStyle w:val="Heading1"/>
      </w:pPr>
      <w:r>
        <w:t>9. Arquitectura lógica y stack recomendado</w:t>
      </w:r>
    </w:p>
    <w:p>
      <w:pPr>
        <w:jc w:val="center"/>
      </w:pPr>
      <w:r>
        <w:drawing>
          <wp:inline xmlns:a="http://schemas.openxmlformats.org/drawingml/2006/main" xmlns:pic="http://schemas.openxmlformats.org/drawingml/2006/picture">
            <wp:extent cx="6080760" cy="2370300"/>
            <wp:docPr id="4" name="Picture 4"/>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6080760" cy="2370300"/>
                    </a:xfrm>
                    <a:prstGeom prst="rect"/>
                  </pic:spPr>
                </pic:pic>
              </a:graphicData>
            </a:graphic>
          </wp:inline>
        </w:drawing>
      </w:r>
    </w:p>
    <w:p>
      <w:pPr>
        <w:spacing w:after="140"/>
        <w:jc w:val="center"/>
      </w:pPr>
      <w:r>
        <w:rPr>
          <w:rFonts w:ascii="Carlito" w:hAnsi="Carlito"/>
          <w:i/>
          <w:color w:val="5A6973"/>
          <w:sz w:val="17"/>
        </w:rPr>
        <w:t>Figura 4. Arquitectura lógica propuesta.</w:t>
      </w:r>
    </w:p>
    <w:p>
      <w:pPr>
        <w:pStyle w:val="Heading2"/>
      </w:pPr>
      <w:r>
        <w:t>9.1 Stack recomendado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350"/>
            <w:shd w:fill="294C60"/>
            <w:tcMar>
              <w:top w:w="90" w:type="dxa"/>
              <w:start w:w="90" w:type="dxa"/>
              <w:bottom w:w="90" w:type="dxa"/>
              <w:end w:w="90" w:type="dxa"/>
            </w:tcMar>
            <w:vAlign w:val="center"/>
          </w:tcPr>
          <w:p>
            <w:pPr>
              <w:jc w:val="left"/>
            </w:pPr>
            <w:r>
              <w:rPr>
                <w:rFonts w:ascii="Carlito" w:hAnsi="Carlito"/>
                <w:b/>
                <w:color w:val="FFFFFF"/>
                <w:sz w:val="16"/>
              </w:rPr>
              <w:t>Capa</w:t>
            </w:r>
          </w:p>
        </w:tc>
        <w:tc>
          <w:tcPr>
            <w:tcW w:type="dxa" w:w="2250"/>
            <w:shd w:fill="294C60"/>
            <w:tcMar>
              <w:top w:w="90" w:type="dxa"/>
              <w:start w:w="90" w:type="dxa"/>
              <w:bottom w:w="90" w:type="dxa"/>
              <w:end w:w="90" w:type="dxa"/>
            </w:tcMar>
            <w:vAlign w:val="center"/>
          </w:tcPr>
          <w:p>
            <w:pPr>
              <w:jc w:val="left"/>
            </w:pPr>
            <w:r>
              <w:rPr>
                <w:rFonts w:ascii="Carlito" w:hAnsi="Carlito"/>
                <w:b/>
                <w:color w:val="FFFFFF"/>
                <w:sz w:val="16"/>
              </w:rPr>
              <w:t>Tecnología recomendada</w:t>
            </w:r>
          </w:p>
        </w:tc>
        <w:tc>
          <w:tcPr>
            <w:tcW w:type="dxa" w:w="3200"/>
            <w:shd w:fill="294C60"/>
            <w:tcMar>
              <w:top w:w="90" w:type="dxa"/>
              <w:start w:w="90" w:type="dxa"/>
              <w:bottom w:w="90" w:type="dxa"/>
              <w:end w:w="90" w:type="dxa"/>
            </w:tcMar>
            <w:vAlign w:val="center"/>
          </w:tcPr>
          <w:p>
            <w:pPr>
              <w:jc w:val="left"/>
            </w:pPr>
            <w:r>
              <w:rPr>
                <w:rFonts w:ascii="Carlito" w:hAnsi="Carlito"/>
                <w:b/>
                <w:color w:val="FFFFFF"/>
                <w:sz w:val="16"/>
              </w:rPr>
              <w:t>Motivo</w:t>
            </w:r>
          </w:p>
        </w:tc>
      </w:tr>
      <w:tr>
        <w:trPr>
          <w:cantSplit/>
        </w:trPr>
        <w:tc>
          <w:tcPr>
            <w:tcW w:type="dxa" w:w="1350"/>
            <w:tcMar>
              <w:top w:w="90" w:type="dxa"/>
              <w:start w:w="90" w:type="dxa"/>
              <w:bottom w:w="90" w:type="dxa"/>
              <w:end w:w="90" w:type="dxa"/>
            </w:tcMar>
            <w:vAlign w:val="top"/>
          </w:tcPr>
          <w:p>
            <w:pPr>
              <w:spacing w:after="0"/>
            </w:pPr>
            <w:r>
              <w:rPr>
                <w:rFonts w:ascii="Carlito" w:hAnsi="Carlito"/>
                <w:color w:val="233440"/>
                <w:sz w:val="16"/>
              </w:rPr>
              <w:t>Frontend</w:t>
            </w:r>
          </w:p>
        </w:tc>
        <w:tc>
          <w:tcPr>
            <w:tcW w:type="dxa" w:w="2250"/>
            <w:tcMar>
              <w:top w:w="90" w:type="dxa"/>
              <w:start w:w="90" w:type="dxa"/>
              <w:bottom w:w="90" w:type="dxa"/>
              <w:end w:w="90" w:type="dxa"/>
            </w:tcMar>
            <w:vAlign w:val="top"/>
          </w:tcPr>
          <w:p>
            <w:pPr>
              <w:spacing w:after="0"/>
            </w:pPr>
            <w:r>
              <w:rPr>
                <w:rFonts w:ascii="Carlito" w:hAnsi="Carlito"/>
                <w:color w:val="233440"/>
                <w:sz w:val="16"/>
              </w:rPr>
              <w:t>React + TypeScript + diseño responsive/PWA</w:t>
            </w:r>
          </w:p>
        </w:tc>
        <w:tc>
          <w:tcPr>
            <w:tcW w:type="dxa" w:w="3200"/>
            <w:tcMar>
              <w:top w:w="90" w:type="dxa"/>
              <w:start w:w="90" w:type="dxa"/>
              <w:bottom w:w="90" w:type="dxa"/>
              <w:end w:w="90" w:type="dxa"/>
            </w:tcMar>
            <w:vAlign w:val="top"/>
          </w:tcPr>
          <w:p>
            <w:pPr>
              <w:spacing w:after="0"/>
            </w:pPr>
            <w:r>
              <w:rPr>
                <w:rFonts w:ascii="Carlito" w:hAnsi="Carlito"/>
                <w:color w:val="233440"/>
                <w:sz w:val="16"/>
              </w:rPr>
              <w:t>Maduro, ampliamente soportado y desacoplado del backend. Una sola experiencia para PC y celular.</w:t>
            </w:r>
          </w:p>
        </w:tc>
      </w:tr>
      <w:tr>
        <w:trPr>
          <w:cantSplit/>
        </w:trPr>
        <w:tc>
          <w:tcPr>
            <w:tcW w:type="dxa" w:w="1350"/>
            <w:shd w:fill="FAFBFC"/>
            <w:tcMar>
              <w:top w:w="90" w:type="dxa"/>
              <w:start w:w="90" w:type="dxa"/>
              <w:bottom w:w="90" w:type="dxa"/>
              <w:end w:w="90" w:type="dxa"/>
            </w:tcMar>
            <w:vAlign w:val="top"/>
          </w:tcPr>
          <w:p>
            <w:pPr>
              <w:spacing w:after="0"/>
            </w:pPr>
            <w:r>
              <w:rPr>
                <w:rFonts w:ascii="Carlito" w:hAnsi="Carlito"/>
                <w:color w:val="233440"/>
                <w:sz w:val="16"/>
              </w:rPr>
              <w:t>Backend</w:t>
            </w:r>
          </w:p>
        </w:tc>
        <w:tc>
          <w:tcPr>
            <w:tcW w:type="dxa" w:w="2250"/>
            <w:shd w:fill="FAFBFC"/>
            <w:tcMar>
              <w:top w:w="90" w:type="dxa"/>
              <w:start w:w="90" w:type="dxa"/>
              <w:bottom w:w="90" w:type="dxa"/>
              <w:end w:w="90" w:type="dxa"/>
            </w:tcMar>
            <w:vAlign w:val="top"/>
          </w:tcPr>
          <w:p>
            <w:pPr>
              <w:spacing w:after="0"/>
            </w:pPr>
            <w:r>
              <w:rPr>
                <w:rFonts w:ascii="Carlito" w:hAnsi="Carlito"/>
                <w:color w:val="233440"/>
                <w:sz w:val="16"/>
              </w:rPr>
              <w:t>ASP.NET Core sobre .NET 10 LTS</w:t>
            </w:r>
          </w:p>
        </w:tc>
        <w:tc>
          <w:tcPr>
            <w:tcW w:type="dxa" w:w="3200"/>
            <w:shd w:fill="FAFBFC"/>
            <w:tcMar>
              <w:top w:w="90" w:type="dxa"/>
              <w:start w:w="90" w:type="dxa"/>
              <w:bottom w:w="90" w:type="dxa"/>
              <w:end w:w="90" w:type="dxa"/>
            </w:tcMar>
            <w:vAlign w:val="top"/>
          </w:tcPr>
          <w:p>
            <w:pPr>
              <w:spacing w:after="0"/>
            </w:pPr>
            <w:r>
              <w:rPr>
                <w:rFonts w:ascii="Carlito" w:hAnsi="Carlito"/>
                <w:color w:val="233440"/>
                <w:sz w:val="16"/>
              </w:rPr>
              <w:t>Excelente integración con Entra/Microsoft.Identity.Web, tipado fuerte, rendimiento y soporte LTS vigente a la fecha del documento [R1].</w:t>
            </w:r>
          </w:p>
        </w:tc>
      </w:tr>
      <w:tr>
        <w:trPr>
          <w:cantSplit/>
        </w:trPr>
        <w:tc>
          <w:tcPr>
            <w:tcW w:type="dxa" w:w="1350"/>
            <w:tcMar>
              <w:top w:w="90" w:type="dxa"/>
              <w:start w:w="90" w:type="dxa"/>
              <w:bottom w:w="90" w:type="dxa"/>
              <w:end w:w="90" w:type="dxa"/>
            </w:tcMar>
            <w:vAlign w:val="top"/>
          </w:tcPr>
          <w:p>
            <w:pPr>
              <w:spacing w:after="0"/>
            </w:pPr>
            <w:r>
              <w:rPr>
                <w:rFonts w:ascii="Carlito" w:hAnsi="Carlito"/>
                <w:color w:val="233440"/>
                <w:sz w:val="16"/>
              </w:rPr>
              <w:t>Persistencia</w:t>
            </w:r>
          </w:p>
        </w:tc>
        <w:tc>
          <w:tcPr>
            <w:tcW w:type="dxa" w:w="2250"/>
            <w:tcMar>
              <w:top w:w="90" w:type="dxa"/>
              <w:start w:w="90" w:type="dxa"/>
              <w:bottom w:w="90" w:type="dxa"/>
              <w:end w:w="90" w:type="dxa"/>
            </w:tcMar>
            <w:vAlign w:val="top"/>
          </w:tcPr>
          <w:p>
            <w:pPr>
              <w:spacing w:after="0"/>
            </w:pPr>
            <w:r>
              <w:rPr>
                <w:rFonts w:ascii="Carlito" w:hAnsi="Carlito"/>
                <w:color w:val="233440"/>
                <w:sz w:val="16"/>
              </w:rPr>
              <w:t>PostgreSQL</w:t>
            </w:r>
          </w:p>
        </w:tc>
        <w:tc>
          <w:tcPr>
            <w:tcW w:type="dxa" w:w="3200"/>
            <w:tcMar>
              <w:top w:w="90" w:type="dxa"/>
              <w:start w:w="90" w:type="dxa"/>
              <w:bottom w:w="90" w:type="dxa"/>
              <w:end w:w="90" w:type="dxa"/>
            </w:tcMar>
            <w:vAlign w:val="top"/>
          </w:tcPr>
          <w:p>
            <w:pPr>
              <w:spacing w:after="0"/>
            </w:pPr>
            <w:r>
              <w:rPr>
                <w:rFonts w:ascii="Carlito" w:hAnsi="Carlito"/>
                <w:color w:val="233440"/>
                <w:sz w:val="16"/>
              </w:rPr>
              <w:t>Base relacional robusta, transaccional y portable. Adecuada para workflows, ledger y reportes operativos.</w:t>
            </w:r>
          </w:p>
        </w:tc>
      </w:tr>
      <w:tr>
        <w:trPr>
          <w:cantSplit/>
        </w:trPr>
        <w:tc>
          <w:tcPr>
            <w:tcW w:type="dxa" w:w="1350"/>
            <w:shd w:fill="FAFBFC"/>
            <w:tcMar>
              <w:top w:w="90" w:type="dxa"/>
              <w:start w:w="90" w:type="dxa"/>
              <w:bottom w:w="90" w:type="dxa"/>
              <w:end w:w="90" w:type="dxa"/>
            </w:tcMar>
            <w:vAlign w:val="top"/>
          </w:tcPr>
          <w:p>
            <w:pPr>
              <w:spacing w:after="0"/>
            </w:pPr>
            <w:r>
              <w:rPr>
                <w:rFonts w:ascii="Carlito" w:hAnsi="Carlito"/>
                <w:color w:val="233440"/>
                <w:sz w:val="16"/>
              </w:rPr>
              <w:t>ORM / acceso</w:t>
            </w:r>
          </w:p>
        </w:tc>
        <w:tc>
          <w:tcPr>
            <w:tcW w:type="dxa" w:w="2250"/>
            <w:shd w:fill="FAFBFC"/>
            <w:tcMar>
              <w:top w:w="90" w:type="dxa"/>
              <w:start w:w="90" w:type="dxa"/>
              <w:bottom w:w="90" w:type="dxa"/>
              <w:end w:w="90" w:type="dxa"/>
            </w:tcMar>
            <w:vAlign w:val="top"/>
          </w:tcPr>
          <w:p>
            <w:pPr>
              <w:spacing w:after="0"/>
            </w:pPr>
            <w:r>
              <w:rPr>
                <w:rFonts w:ascii="Carlito" w:hAnsi="Carlito"/>
                <w:color w:val="233440"/>
                <w:sz w:val="16"/>
              </w:rPr>
              <w:t>Entity Framework Core + SQL explícito donde sea necesario</w:t>
            </w:r>
          </w:p>
        </w:tc>
        <w:tc>
          <w:tcPr>
            <w:tcW w:type="dxa" w:w="3200"/>
            <w:shd w:fill="FAFBFC"/>
            <w:tcMar>
              <w:top w:w="90" w:type="dxa"/>
              <w:start w:w="90" w:type="dxa"/>
              <w:bottom w:w="90" w:type="dxa"/>
              <w:end w:w="90" w:type="dxa"/>
            </w:tcMar>
            <w:vAlign w:val="top"/>
          </w:tcPr>
          <w:p>
            <w:pPr>
              <w:spacing w:after="0"/>
            </w:pPr>
            <w:r>
              <w:rPr>
                <w:rFonts w:ascii="Carlito" w:hAnsi="Carlito"/>
                <w:color w:val="233440"/>
                <w:sz w:val="16"/>
              </w:rPr>
              <w:t>Productividad sin renunciar a consultas optimizadas.</w:t>
            </w:r>
          </w:p>
        </w:tc>
      </w:tr>
      <w:tr>
        <w:trPr>
          <w:cantSplit/>
        </w:trPr>
        <w:tc>
          <w:tcPr>
            <w:tcW w:type="dxa" w:w="1350"/>
            <w:tcMar>
              <w:top w:w="90" w:type="dxa"/>
              <w:start w:w="90" w:type="dxa"/>
              <w:bottom w:w="90" w:type="dxa"/>
              <w:end w:w="90" w:type="dxa"/>
            </w:tcMar>
            <w:vAlign w:val="top"/>
          </w:tcPr>
          <w:p>
            <w:pPr>
              <w:spacing w:after="0"/>
            </w:pPr>
            <w:r>
              <w:rPr>
                <w:rFonts w:ascii="Carlito" w:hAnsi="Carlito"/>
                <w:color w:val="233440"/>
                <w:sz w:val="16"/>
              </w:rPr>
              <w:t>Autenticación</w:t>
            </w:r>
          </w:p>
        </w:tc>
        <w:tc>
          <w:tcPr>
            <w:tcW w:type="dxa" w:w="2250"/>
            <w:tcMar>
              <w:top w:w="90" w:type="dxa"/>
              <w:start w:w="90" w:type="dxa"/>
              <w:bottom w:w="90" w:type="dxa"/>
              <w:end w:w="90" w:type="dxa"/>
            </w:tcMar>
            <w:vAlign w:val="top"/>
          </w:tcPr>
          <w:p>
            <w:pPr>
              <w:spacing w:after="0"/>
            </w:pPr>
            <w:r>
              <w:rPr>
                <w:rFonts w:ascii="Carlito" w:hAnsi="Carlito"/>
                <w:color w:val="233440"/>
                <w:sz w:val="16"/>
              </w:rPr>
              <w:t>Microsoft Entra ID mediante OpenID Connect/OAuth 2.0</w:t>
            </w:r>
          </w:p>
        </w:tc>
        <w:tc>
          <w:tcPr>
            <w:tcW w:type="dxa" w:w="3200"/>
            <w:tcMar>
              <w:top w:w="90" w:type="dxa"/>
              <w:start w:w="90" w:type="dxa"/>
              <w:bottom w:w="90" w:type="dxa"/>
              <w:end w:w="90" w:type="dxa"/>
            </w:tcMar>
            <w:vAlign w:val="top"/>
          </w:tcPr>
          <w:p>
            <w:pPr>
              <w:spacing w:after="0"/>
            </w:pPr>
            <w:r>
              <w:rPr>
                <w:rFonts w:ascii="Carlito" w:hAnsi="Carlito"/>
                <w:color w:val="233440"/>
                <w:sz w:val="16"/>
              </w:rPr>
              <w:t>SSO corporativo, MFA y políticas de acceso gestionadas por la organización [R2].</w:t>
            </w:r>
          </w:p>
        </w:tc>
      </w:tr>
      <w:tr>
        <w:trPr>
          <w:cantSplit/>
        </w:trPr>
        <w:tc>
          <w:tcPr>
            <w:tcW w:type="dxa" w:w="1350"/>
            <w:shd w:fill="FAFBFC"/>
            <w:tcMar>
              <w:top w:w="90" w:type="dxa"/>
              <w:start w:w="90" w:type="dxa"/>
              <w:bottom w:w="90" w:type="dxa"/>
              <w:end w:w="90" w:type="dxa"/>
            </w:tcMar>
            <w:vAlign w:val="top"/>
          </w:tcPr>
          <w:p>
            <w:pPr>
              <w:spacing w:after="0"/>
            </w:pPr>
            <w:r>
              <w:rPr>
                <w:rFonts w:ascii="Carlito" w:hAnsi="Carlito"/>
                <w:color w:val="233440"/>
                <w:sz w:val="16"/>
              </w:rPr>
              <w:t>Integración M365</w:t>
            </w:r>
          </w:p>
        </w:tc>
        <w:tc>
          <w:tcPr>
            <w:tcW w:type="dxa" w:w="2250"/>
            <w:shd w:fill="FAFBFC"/>
            <w:tcMar>
              <w:top w:w="90" w:type="dxa"/>
              <w:start w:w="90" w:type="dxa"/>
              <w:bottom w:w="90" w:type="dxa"/>
              <w:end w:w="90" w:type="dxa"/>
            </w:tcMar>
            <w:vAlign w:val="top"/>
          </w:tcPr>
          <w:p>
            <w:pPr>
              <w:spacing w:after="0"/>
            </w:pPr>
            <w:r>
              <w:rPr>
                <w:rFonts w:ascii="Carlito" w:hAnsi="Carlito"/>
                <w:color w:val="233440"/>
                <w:sz w:val="16"/>
              </w:rPr>
              <w:t>Microsoft Graph</w:t>
            </w:r>
          </w:p>
        </w:tc>
        <w:tc>
          <w:tcPr>
            <w:tcW w:type="dxa" w:w="3200"/>
            <w:shd w:fill="FAFBFC"/>
            <w:tcMar>
              <w:top w:w="90" w:type="dxa"/>
              <w:start w:w="90" w:type="dxa"/>
              <w:bottom w:w="90" w:type="dxa"/>
              <w:end w:w="90" w:type="dxa"/>
            </w:tcMar>
            <w:vAlign w:val="top"/>
          </w:tcPr>
          <w:p>
            <w:pPr>
              <w:spacing w:after="0"/>
            </w:pPr>
            <w:r>
              <w:rPr>
                <w:rFonts w:ascii="Carlito" w:hAnsi="Carlito"/>
                <w:color w:val="233440"/>
                <w:sz w:val="16"/>
              </w:rPr>
              <w:t>Acceso controlado a SharePoint y, opcionalmente, grupos/notificaciones [R3][R4].</w:t>
            </w:r>
          </w:p>
        </w:tc>
      </w:tr>
      <w:tr>
        <w:trPr>
          <w:cantSplit/>
        </w:trPr>
        <w:tc>
          <w:tcPr>
            <w:tcW w:type="dxa" w:w="1350"/>
            <w:tcMar>
              <w:top w:w="90" w:type="dxa"/>
              <w:start w:w="90" w:type="dxa"/>
              <w:bottom w:w="90" w:type="dxa"/>
              <w:end w:w="90" w:type="dxa"/>
            </w:tcMar>
            <w:vAlign w:val="top"/>
          </w:tcPr>
          <w:p>
            <w:pPr>
              <w:spacing w:after="0"/>
            </w:pPr>
            <w:r>
              <w:rPr>
                <w:rFonts w:ascii="Carlito" w:hAnsi="Carlito"/>
                <w:color w:val="233440"/>
                <w:sz w:val="16"/>
              </w:rPr>
              <w:t>Archivos</w:t>
            </w:r>
          </w:p>
        </w:tc>
        <w:tc>
          <w:tcPr>
            <w:tcW w:type="dxa" w:w="2250"/>
            <w:tcMar>
              <w:top w:w="90" w:type="dxa"/>
              <w:start w:w="90" w:type="dxa"/>
              <w:bottom w:w="90" w:type="dxa"/>
              <w:end w:w="90" w:type="dxa"/>
            </w:tcMar>
            <w:vAlign w:val="top"/>
          </w:tcPr>
          <w:p>
            <w:pPr>
              <w:spacing w:after="0"/>
            </w:pPr>
            <w:r>
              <w:rPr>
                <w:rFonts w:ascii="Carlito" w:hAnsi="Carlito"/>
                <w:color w:val="233440"/>
                <w:sz w:val="16"/>
              </w:rPr>
              <w:t>Blob/Object Storage privado</w:t>
            </w:r>
          </w:p>
        </w:tc>
        <w:tc>
          <w:tcPr>
            <w:tcW w:type="dxa" w:w="3200"/>
            <w:tcMar>
              <w:top w:w="90" w:type="dxa"/>
              <w:start w:w="90" w:type="dxa"/>
              <w:bottom w:w="90" w:type="dxa"/>
              <w:end w:w="90" w:type="dxa"/>
            </w:tcMar>
            <w:vAlign w:val="top"/>
          </w:tcPr>
          <w:p>
            <w:pPr>
              <w:spacing w:after="0"/>
            </w:pPr>
            <w:r>
              <w:rPr>
                <w:rFonts w:ascii="Carlito" w:hAnsi="Carlito"/>
                <w:color w:val="233440"/>
                <w:sz w:val="16"/>
              </w:rPr>
              <w:t>Separación de documentos, cifrado, escalabilidad y control de acceso. En Azure se recomienda deshabilitar acceso público y usar acceso delegado de corta duración [R5].</w:t>
            </w:r>
          </w:p>
        </w:tc>
      </w:tr>
      <w:tr>
        <w:trPr>
          <w:cantSplit/>
        </w:trPr>
        <w:tc>
          <w:tcPr>
            <w:tcW w:type="dxa" w:w="1350"/>
            <w:shd w:fill="FAFBFC"/>
            <w:tcMar>
              <w:top w:w="90" w:type="dxa"/>
              <w:start w:w="90" w:type="dxa"/>
              <w:bottom w:w="90" w:type="dxa"/>
              <w:end w:w="90" w:type="dxa"/>
            </w:tcMar>
            <w:vAlign w:val="top"/>
          </w:tcPr>
          <w:p>
            <w:pPr>
              <w:spacing w:after="0"/>
            </w:pPr>
            <w:r>
              <w:rPr>
                <w:rFonts w:ascii="Carlito" w:hAnsi="Carlito"/>
                <w:color w:val="233440"/>
                <w:sz w:val="16"/>
              </w:rPr>
              <w:t>Background jobs</w:t>
            </w:r>
          </w:p>
        </w:tc>
        <w:tc>
          <w:tcPr>
            <w:tcW w:type="dxa" w:w="2250"/>
            <w:shd w:fill="FAFBFC"/>
            <w:tcMar>
              <w:top w:w="90" w:type="dxa"/>
              <w:start w:w="90" w:type="dxa"/>
              <w:bottom w:w="90" w:type="dxa"/>
              <w:end w:w="90" w:type="dxa"/>
            </w:tcMar>
            <w:vAlign w:val="top"/>
          </w:tcPr>
          <w:p>
            <w:pPr>
              <w:spacing w:after="0"/>
            </w:pPr>
            <w:r>
              <w:rPr>
                <w:rFonts w:ascii="Carlito" w:hAnsi="Carlito"/>
                <w:color w:val="233440"/>
                <w:sz w:val="16"/>
              </w:rPr>
              <w:t>Worker .NET + Transactional Outbox</w:t>
            </w:r>
          </w:p>
        </w:tc>
        <w:tc>
          <w:tcPr>
            <w:tcW w:type="dxa" w:w="3200"/>
            <w:shd w:fill="FAFBFC"/>
            <w:tcMar>
              <w:top w:w="90" w:type="dxa"/>
              <w:start w:w="90" w:type="dxa"/>
              <w:bottom w:w="90" w:type="dxa"/>
              <w:end w:w="90" w:type="dxa"/>
            </w:tcMar>
            <w:vAlign w:val="top"/>
          </w:tcPr>
          <w:p>
            <w:pPr>
              <w:spacing w:after="0"/>
            </w:pPr>
            <w:r>
              <w:rPr>
                <w:rFonts w:ascii="Carlito" w:hAnsi="Carlito"/>
                <w:color w:val="233440"/>
                <w:sz w:val="16"/>
              </w:rPr>
              <w:t>Entrega confiable de notificaciones, vencimientos y tareas sin acoplar la transacción HTTP.</w:t>
            </w:r>
          </w:p>
        </w:tc>
      </w:tr>
      <w:tr>
        <w:trPr>
          <w:cantSplit/>
        </w:trPr>
        <w:tc>
          <w:tcPr>
            <w:tcW w:type="dxa" w:w="1350"/>
            <w:tcMar>
              <w:top w:w="90" w:type="dxa"/>
              <w:start w:w="90" w:type="dxa"/>
              <w:bottom w:w="90" w:type="dxa"/>
              <w:end w:w="90" w:type="dxa"/>
            </w:tcMar>
            <w:vAlign w:val="top"/>
          </w:tcPr>
          <w:p>
            <w:pPr>
              <w:spacing w:after="0"/>
            </w:pPr>
            <w:r>
              <w:rPr>
                <w:rFonts w:ascii="Carlito" w:hAnsi="Carlito"/>
                <w:color w:val="233440"/>
                <w:sz w:val="16"/>
              </w:rPr>
              <w:t>Contenedores</w:t>
            </w:r>
          </w:p>
        </w:tc>
        <w:tc>
          <w:tcPr>
            <w:tcW w:type="dxa" w:w="2250"/>
            <w:tcMar>
              <w:top w:w="90" w:type="dxa"/>
              <w:start w:w="90" w:type="dxa"/>
              <w:bottom w:w="90" w:type="dxa"/>
              <w:end w:w="90" w:type="dxa"/>
            </w:tcMar>
            <w:vAlign w:val="top"/>
          </w:tcPr>
          <w:p>
            <w:pPr>
              <w:spacing w:after="0"/>
            </w:pPr>
            <w:r>
              <w:rPr>
                <w:rFonts w:ascii="Carlito" w:hAnsi="Carlito"/>
                <w:color w:val="233440"/>
                <w:sz w:val="16"/>
              </w:rPr>
              <w:t>Docker/OCI</w:t>
            </w:r>
          </w:p>
        </w:tc>
        <w:tc>
          <w:tcPr>
            <w:tcW w:type="dxa" w:w="3200"/>
            <w:tcMar>
              <w:top w:w="90" w:type="dxa"/>
              <w:start w:w="90" w:type="dxa"/>
              <w:bottom w:w="90" w:type="dxa"/>
              <w:end w:w="90" w:type="dxa"/>
            </w:tcMar>
            <w:vAlign w:val="top"/>
          </w:tcPr>
          <w:p>
            <w:pPr>
              <w:spacing w:after="0"/>
            </w:pPr>
            <w:r>
              <w:rPr>
                <w:rFonts w:ascii="Carlito" w:hAnsi="Carlito"/>
                <w:color w:val="233440"/>
                <w:sz w:val="16"/>
              </w:rPr>
              <w:t>Portabilidad entre Azure, nube privada o infraestructura propia.</w:t>
            </w:r>
          </w:p>
        </w:tc>
      </w:tr>
    </w:tbl>
    <w:p>
      <w:pPr>
        <w:spacing w:after="0"/>
      </w:pPr>
    </w:p>
    <w:p>
      <w:pPr>
        <w:pStyle w:val="Heading2"/>
      </w:pPr>
      <w:r>
        <w:t>9.2 Patrón de autenticación recomendado</w:t>
      </w:r>
    </w:p>
    <w:p>
      <w:pPr>
        <w:spacing w:after="120" w:line="259" w:lineRule="auto"/>
      </w:pPr>
      <w:r>
        <w:rPr>
          <w:rFonts w:ascii="Carlito" w:hAnsi="Carlito"/>
          <w:color w:val="233440"/>
          <w:sz w:val="20"/>
        </w:rPr>
        <w:t>Para el MVP se recomienda una arquitectura same-origin con backend/BFF: el backend realiza OpenID Connect con Entra ID, mantiene una sesión segura mediante cookie HttpOnly/Secure/SameSite y el navegador no necesita manipular secretos ni tokens de Microsoft directamente. Las llamadas a Graph se realizan exclusivamente desde backend con permisos explícitos. Si se elige una SPA totalmente separada, MSAL.js + Authorization Code con PKCE también es válido, pero el BFF reduce superficie de exposición de tokens en el navegador.</w:t>
      </w:r>
    </w:p>
    <w:p>
      <w:pPr>
        <w:pStyle w:val="Heading2"/>
      </w:pPr>
      <w:r>
        <w:t>9.3 Componentes lógicos del backend</w:t>
      </w:r>
    </w:p>
    <w:p>
      <w:pPr>
        <w:pStyle w:val="ListBullet"/>
        <w:spacing w:after="60"/>
      </w:pPr>
      <w:r>
        <w:rPr>
          <w:rFonts w:ascii="Carlito" w:hAnsi="Carlito"/>
          <w:b/>
          <w:color w:val="233440"/>
          <w:sz w:val="20"/>
        </w:rPr>
        <w:t xml:space="preserve">Identity &amp; Provisioning. </w:t>
      </w:r>
      <w:r>
        <w:rPr>
          <w:rFonts w:ascii="Carlito" w:hAnsi="Carlito"/>
          <w:color w:val="233440"/>
          <w:sz w:val="20"/>
        </w:rPr>
        <w:t>Mapea la identidad Entra al User interno y mantiene atributos no sensibles necesarios.</w:t>
      </w:r>
    </w:p>
    <w:p>
      <w:pPr>
        <w:pStyle w:val="ListBullet"/>
        <w:spacing w:after="60"/>
      </w:pPr>
      <w:r>
        <w:rPr>
          <w:rFonts w:ascii="Carlito" w:hAnsi="Carlito"/>
          <w:b/>
          <w:color w:val="233440"/>
          <w:sz w:val="20"/>
        </w:rPr>
        <w:t xml:space="preserve">Authorization Service. </w:t>
      </w:r>
      <w:r>
        <w:rPr>
          <w:rFonts w:ascii="Carlito" w:hAnsi="Carlito"/>
          <w:color w:val="233440"/>
          <w:sz w:val="20"/>
        </w:rPr>
        <w:t>Resuelve permisos por rol + alcance y aplica políticas de autorización a cada caso de uso.</w:t>
      </w:r>
    </w:p>
    <w:p>
      <w:pPr>
        <w:pStyle w:val="ListBullet"/>
        <w:spacing w:after="60"/>
      </w:pPr>
      <w:r>
        <w:rPr>
          <w:rFonts w:ascii="Carlito" w:hAnsi="Carlito"/>
          <w:b/>
          <w:color w:val="233440"/>
          <w:sz w:val="20"/>
        </w:rPr>
        <w:t xml:space="preserve">Leave Service. </w:t>
      </w:r>
      <w:r>
        <w:rPr>
          <w:rFonts w:ascii="Carlito" w:hAnsi="Carlito"/>
          <w:color w:val="233440"/>
          <w:sz w:val="20"/>
        </w:rPr>
        <w:t>Orquesta solicitudes, estados, comentarios y acciones administrativas.</w:t>
      </w:r>
    </w:p>
    <w:p>
      <w:pPr>
        <w:pStyle w:val="ListBullet"/>
        <w:spacing w:after="60"/>
      </w:pPr>
      <w:r>
        <w:rPr>
          <w:rFonts w:ascii="Carlito" w:hAnsi="Carlito"/>
          <w:b/>
          <w:color w:val="233440"/>
          <w:sz w:val="20"/>
        </w:rPr>
        <w:t xml:space="preserve">Policy Engine. </w:t>
      </w:r>
      <w:r>
        <w:rPr>
          <w:rFonts w:ascii="Carlito" w:hAnsi="Carlito"/>
          <w:color w:val="233440"/>
          <w:sz w:val="20"/>
        </w:rPr>
        <w:t>Resuelve reglas efectivas, calcula días, feriados, solapamientos, capacidad y requisitos.</w:t>
      </w:r>
    </w:p>
    <w:p>
      <w:pPr>
        <w:pStyle w:val="ListBullet"/>
        <w:spacing w:after="60"/>
      </w:pPr>
      <w:r>
        <w:rPr>
          <w:rFonts w:ascii="Carlito" w:hAnsi="Carlito"/>
          <w:b/>
          <w:color w:val="233440"/>
          <w:sz w:val="20"/>
        </w:rPr>
        <w:t xml:space="preserve">Balance Service. </w:t>
      </w:r>
      <w:r>
        <w:rPr>
          <w:rFonts w:ascii="Carlito" w:hAnsi="Carlito"/>
          <w:color w:val="233440"/>
          <w:sz w:val="20"/>
        </w:rPr>
        <w:t>Gestiona cuentas, reservas y ledger con invariantes transaccionales.</w:t>
      </w:r>
    </w:p>
    <w:p>
      <w:pPr>
        <w:pStyle w:val="ListBullet"/>
        <w:spacing w:after="60"/>
      </w:pPr>
      <w:r>
        <w:rPr>
          <w:rFonts w:ascii="Carlito" w:hAnsi="Carlito"/>
          <w:b/>
          <w:color w:val="233440"/>
          <w:sz w:val="20"/>
        </w:rPr>
        <w:t xml:space="preserve">Approval Service. </w:t>
      </w:r>
      <w:r>
        <w:rPr>
          <w:rFonts w:ascii="Carlito" w:hAnsi="Carlito"/>
          <w:color w:val="233440"/>
          <w:sz w:val="20"/>
        </w:rPr>
        <w:t>Construye workflows y registra decisiones.</w:t>
      </w:r>
    </w:p>
    <w:p>
      <w:pPr>
        <w:pStyle w:val="ListBullet"/>
        <w:spacing w:after="60"/>
      </w:pPr>
      <w:r>
        <w:rPr>
          <w:rFonts w:ascii="Carlito" w:hAnsi="Carlito"/>
          <w:b/>
          <w:color w:val="233440"/>
          <w:sz w:val="20"/>
        </w:rPr>
        <w:t xml:space="preserve">Document Service. </w:t>
      </w:r>
      <w:r>
        <w:rPr>
          <w:rFonts w:ascii="Carlito" w:hAnsi="Carlito"/>
          <w:color w:val="233440"/>
          <w:sz w:val="20"/>
        </w:rPr>
        <w:t>Valida metadatos, permisos y almacenamiento de adjuntos.</w:t>
      </w:r>
    </w:p>
    <w:p>
      <w:pPr>
        <w:pStyle w:val="ListBullet"/>
        <w:spacing w:after="60"/>
      </w:pPr>
      <w:r>
        <w:rPr>
          <w:rFonts w:ascii="Carlito" w:hAnsi="Carlito"/>
          <w:b/>
          <w:color w:val="233440"/>
          <w:sz w:val="20"/>
        </w:rPr>
        <w:t xml:space="preserve">Integration Service. </w:t>
      </w:r>
      <w:r>
        <w:rPr>
          <w:rFonts w:ascii="Carlito" w:hAnsi="Carlito"/>
          <w:color w:val="233440"/>
          <w:sz w:val="20"/>
        </w:rPr>
        <w:t>Encapsula Microsoft Graph y evita que el dominio dependa directamente de APIs externas.</w:t>
      </w:r>
    </w:p>
    <w:p>
      <w:pPr>
        <w:pStyle w:val="ListBullet"/>
        <w:spacing w:after="60"/>
      </w:pPr>
      <w:r>
        <w:rPr>
          <w:rFonts w:ascii="Carlito" w:hAnsi="Carlito"/>
          <w:b/>
          <w:color w:val="233440"/>
          <w:sz w:val="20"/>
        </w:rPr>
        <w:t xml:space="preserve">Notification Worker. </w:t>
      </w:r>
      <w:r>
        <w:rPr>
          <w:rFonts w:ascii="Carlito" w:hAnsi="Carlito"/>
          <w:color w:val="233440"/>
          <w:sz w:val="20"/>
        </w:rPr>
        <w:t>Consume outbox y envía avisos con reintentos e idempotencia.</w:t>
      </w:r>
    </w:p>
    <w:p>
      <w:pPr>
        <w:pStyle w:val="ListBullet"/>
        <w:spacing w:after="60"/>
      </w:pPr>
      <w:r>
        <w:rPr>
          <w:rFonts w:ascii="Carlito" w:hAnsi="Carlito"/>
          <w:b/>
          <w:color w:val="233440"/>
          <w:sz w:val="20"/>
        </w:rPr>
        <w:t xml:space="preserve">Audit Service. </w:t>
      </w:r>
      <w:r>
        <w:rPr>
          <w:rFonts w:ascii="Carlito" w:hAnsi="Carlito"/>
          <w:color w:val="233440"/>
          <w:sz w:val="20"/>
        </w:rPr>
        <w:t>Registra acciones de seguridad y negocio con identificador de correlación.</w:t>
      </w:r>
    </w:p>
    <w:p>
      <w:pPr>
        <w:pStyle w:val="Heading2"/>
      </w:pPr>
      <w:r>
        <w:t>9.4 Hosting</w:t>
      </w:r>
    </w:p>
    <w:p>
      <w:pPr>
        <w:spacing w:after="120" w:line="259" w:lineRule="auto"/>
      </w:pPr>
      <w:r>
        <w:rPr>
          <w:rFonts w:ascii="Carlito" w:hAnsi="Carlito"/>
          <w:color w:val="233440"/>
          <w:sz w:val="20"/>
        </w:rPr>
        <w:t>La aplicación puede alojarse en Azure por conveniencia de integración, pero no depende funcionalmente de Power Platform. Una opción administrada es Azure App Service o Azure Container Apps para frontend/backend, Azure Database for PostgreSQL y Blob Storage. Alternativamente puede ejecutarse en infraestructura propia con contenedores, PostgreSQL y almacenamiento S3-compatible, manteniendo Entra ID como identidad.</w:t>
      </w:r>
    </w:p>
    <w:p>
      <w:pPr>
        <w:pStyle w:val="Heading1"/>
      </w:pPr>
      <w:r>
        <w:t>10. Integración con Microsoft 365 y SharePoint</w:t>
      </w:r>
    </w:p>
    <w:p>
      <w:pPr>
        <w:pStyle w:val="Heading2"/>
      </w:pPr>
      <w:r>
        <w:t>10.1 Microsoft Entra ID</w:t>
      </w:r>
    </w:p>
    <w:p>
      <w:pPr>
        <w:pStyle w:val="ListBullet"/>
        <w:spacing w:after="60"/>
      </w:pPr>
      <w:r>
        <w:rPr>
          <w:rFonts w:ascii="Carlito" w:hAnsi="Carlito"/>
          <w:color w:val="233440"/>
          <w:sz w:val="20"/>
        </w:rPr>
        <w:t>Inicio de sesión SSO con cuentas corporativas.</w:t>
      </w:r>
    </w:p>
    <w:p>
      <w:pPr>
        <w:pStyle w:val="ListBullet"/>
        <w:spacing w:after="60"/>
      </w:pPr>
      <w:r>
        <w:rPr>
          <w:rFonts w:ascii="Carlito" w:hAnsi="Carlito"/>
          <w:color w:val="233440"/>
          <w:sz w:val="20"/>
        </w:rPr>
        <w:t>Sin contraseñas locales para usuarios normales.</w:t>
      </w:r>
    </w:p>
    <w:p>
      <w:pPr>
        <w:pStyle w:val="ListBullet"/>
        <w:spacing w:after="60"/>
      </w:pPr>
      <w:r>
        <w:rPr>
          <w:rFonts w:ascii="Carlito" w:hAnsi="Carlito"/>
          <w:color w:val="233440"/>
          <w:sz w:val="20"/>
        </w:rPr>
        <w:t>El backend valida identidad, tenant permitido y claims necesarios.</w:t>
      </w:r>
    </w:p>
    <w:p>
      <w:pPr>
        <w:pStyle w:val="ListBullet"/>
        <w:spacing w:after="60"/>
      </w:pPr>
      <w:r>
        <w:rPr>
          <w:rFonts w:ascii="Carlito" w:hAnsi="Carlito"/>
          <w:color w:val="233440"/>
          <w:sz w:val="20"/>
        </w:rPr>
        <w:t>MFA y Conditional Access quedan bajo políticas corporativas de Entra.</w:t>
      </w:r>
    </w:p>
    <w:p>
      <w:pPr>
        <w:pStyle w:val="ListBullet"/>
        <w:spacing w:after="60"/>
      </w:pPr>
      <w:r>
        <w:rPr>
          <w:rFonts w:ascii="Carlito" w:hAnsi="Carlito"/>
          <w:color w:val="233440"/>
          <w:sz w:val="20"/>
        </w:rPr>
        <w:t>El identificador estable recomendado en el perfil local es el Object ID de Entra, no el correo electrónico, porque el correo puede cambiar.</w:t>
      </w:r>
    </w:p>
    <w:p>
      <w:pPr>
        <w:pStyle w:val="Heading2"/>
      </w:pPr>
      <w:r>
        <w:t>10.2 Microsoft Graph</w:t>
      </w:r>
    </w:p>
    <w:p>
      <w:pPr>
        <w:spacing w:after="120" w:line="259" w:lineRule="auto"/>
      </w:pPr>
      <w:r>
        <w:rPr>
          <w:rFonts w:ascii="Carlito" w:hAnsi="Carlito"/>
          <w:color w:val="233440"/>
          <w:sz w:val="20"/>
        </w:rPr>
        <w:t>Microsoft Graph permite acceder a sitios, listas e ítems de SharePoint y es el mecanismo recomendado para la migración/consulta de las listas actuales [R3]. Para reducir privilegios se priorizarán permisos “Selected” a nivel de sitio o lista en lugar de permisos globales para todas las colecciones [R6].</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00"/>
            <w:shd w:fill="294C60"/>
            <w:tcMar>
              <w:top w:w="90" w:type="dxa"/>
              <w:start w:w="90" w:type="dxa"/>
              <w:bottom w:w="90" w:type="dxa"/>
              <w:end w:w="90" w:type="dxa"/>
            </w:tcMar>
            <w:vAlign w:val="center"/>
          </w:tcPr>
          <w:p>
            <w:pPr>
              <w:jc w:val="left"/>
            </w:pPr>
            <w:r>
              <w:rPr>
                <w:rFonts w:ascii="Carlito" w:hAnsi="Carlito"/>
                <w:b/>
                <w:color w:val="FFFFFF"/>
                <w:sz w:val="16"/>
              </w:rPr>
              <w:t>Integración</w:t>
            </w:r>
          </w:p>
        </w:tc>
        <w:tc>
          <w:tcPr>
            <w:tcW w:type="dxa" w:w="4200"/>
            <w:shd w:fill="294C60"/>
            <w:tcMar>
              <w:top w:w="90" w:type="dxa"/>
              <w:start w:w="90" w:type="dxa"/>
              <w:bottom w:w="90" w:type="dxa"/>
              <w:end w:w="90" w:type="dxa"/>
            </w:tcMar>
            <w:vAlign w:val="center"/>
          </w:tcPr>
          <w:p>
            <w:pPr>
              <w:jc w:val="left"/>
            </w:pPr>
            <w:r>
              <w:rPr>
                <w:rFonts w:ascii="Carlito" w:hAnsi="Carlito"/>
                <w:b/>
                <w:color w:val="FFFFFF"/>
                <w:sz w:val="16"/>
              </w:rPr>
              <w:t>Uso recomendado</w:t>
            </w:r>
          </w:p>
        </w:tc>
        <w:tc>
          <w:tcPr>
            <w:tcW w:type="dxa" w:w="1000"/>
            <w:shd w:fill="294C60"/>
            <w:tcMar>
              <w:top w:w="90" w:type="dxa"/>
              <w:start w:w="90" w:type="dxa"/>
              <w:bottom w:w="90" w:type="dxa"/>
              <w:end w:w="90" w:type="dxa"/>
            </w:tcMar>
            <w:vAlign w:val="center"/>
          </w:tcPr>
          <w:p>
            <w:pPr>
              <w:jc w:val="left"/>
            </w:pPr>
            <w:r>
              <w:rPr>
                <w:rFonts w:ascii="Carlito" w:hAnsi="Carlito"/>
                <w:b/>
                <w:color w:val="FFFFFF"/>
                <w:sz w:val="16"/>
              </w:rPr>
              <w:t>MVP</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6"/>
              </w:rPr>
              <w:t>SharePoint Lists</w:t>
            </w:r>
          </w:p>
        </w:tc>
        <w:tc>
          <w:tcPr>
            <w:tcW w:type="dxa" w:w="4200"/>
            <w:tcMar>
              <w:top w:w="90" w:type="dxa"/>
              <w:start w:w="90" w:type="dxa"/>
              <w:bottom w:w="90" w:type="dxa"/>
              <w:end w:w="90" w:type="dxa"/>
            </w:tcMar>
            <w:vAlign w:val="top"/>
          </w:tcPr>
          <w:p>
            <w:pPr>
              <w:spacing w:after="0"/>
            </w:pPr>
            <w:r>
              <w:rPr>
                <w:rFonts w:ascii="Carlito" w:hAnsi="Carlito"/>
                <w:color w:val="233440"/>
                <w:sz w:val="16"/>
              </w:rPr>
              <w:t>Lectura para inventario, migración y reconciliación. Escritura solo si se define coexistencia temporal.</w:t>
            </w:r>
          </w:p>
        </w:tc>
        <w:tc>
          <w:tcPr>
            <w:tcW w:type="dxa" w:w="1000"/>
            <w:tcMar>
              <w:top w:w="90" w:type="dxa"/>
              <w:start w:w="90" w:type="dxa"/>
              <w:bottom w:w="90" w:type="dxa"/>
              <w:end w:w="90" w:type="dxa"/>
            </w:tcMar>
            <w:vAlign w:val="top"/>
          </w:tcPr>
          <w:p>
            <w:pPr>
              <w:spacing w:after="0"/>
            </w:pPr>
            <w:r>
              <w:rPr>
                <w:rFonts w:ascii="Carlito" w:hAnsi="Carlito"/>
                <w:color w:val="233440"/>
                <w:sz w:val="16"/>
              </w:rPr>
              <w:t>Sí</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6"/>
              </w:rPr>
              <w:t>Entra Groups</w:t>
            </w:r>
          </w:p>
        </w:tc>
        <w:tc>
          <w:tcPr>
            <w:tcW w:type="dxa" w:w="4200"/>
            <w:shd w:fill="FAFBFC"/>
            <w:tcMar>
              <w:top w:w="90" w:type="dxa"/>
              <w:start w:w="90" w:type="dxa"/>
              <w:bottom w:w="90" w:type="dxa"/>
              <w:end w:w="90" w:type="dxa"/>
            </w:tcMar>
            <w:vAlign w:val="top"/>
          </w:tcPr>
          <w:p>
            <w:pPr>
              <w:spacing w:after="0"/>
            </w:pPr>
            <w:r>
              <w:rPr>
                <w:rFonts w:ascii="Carlito" w:hAnsi="Carlito"/>
                <w:color w:val="233440"/>
                <w:sz w:val="16"/>
              </w:rPr>
              <w:t>Opcional para importar membresías si representan fielmente la estructura. Graph permite consultar miembros directos y relaciones transitivas [R4].</w:t>
            </w:r>
          </w:p>
        </w:tc>
        <w:tc>
          <w:tcPr>
            <w:tcW w:type="dxa" w:w="1000"/>
            <w:shd w:fill="FAFBFC"/>
            <w:tcMar>
              <w:top w:w="90" w:type="dxa"/>
              <w:start w:w="90" w:type="dxa"/>
              <w:bottom w:w="90" w:type="dxa"/>
              <w:end w:w="90" w:type="dxa"/>
            </w:tcMar>
            <w:vAlign w:val="top"/>
          </w:tcPr>
          <w:p>
            <w:pPr>
              <w:spacing w:after="0"/>
            </w:pPr>
            <w:r>
              <w:rPr>
                <w:rFonts w:ascii="Carlito" w:hAnsi="Carlito"/>
                <w:color w:val="233440"/>
                <w:sz w:val="16"/>
              </w:rPr>
              <w:t>Opcional</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6"/>
              </w:rPr>
              <w:t>Outlook/Teams</w:t>
            </w:r>
          </w:p>
        </w:tc>
        <w:tc>
          <w:tcPr>
            <w:tcW w:type="dxa" w:w="4200"/>
            <w:tcMar>
              <w:top w:w="90" w:type="dxa"/>
              <w:start w:w="90" w:type="dxa"/>
              <w:bottom w:w="90" w:type="dxa"/>
              <w:end w:w="90" w:type="dxa"/>
            </w:tcMar>
            <w:vAlign w:val="top"/>
          </w:tcPr>
          <w:p>
            <w:pPr>
              <w:spacing w:after="0"/>
            </w:pPr>
            <w:r>
              <w:rPr>
                <w:rFonts w:ascii="Carlito" w:hAnsi="Carlito"/>
                <w:color w:val="233440"/>
                <w:sz w:val="16"/>
              </w:rPr>
              <w:t>Notificaciones con links profundos hacia la aplicación.</w:t>
            </w:r>
          </w:p>
        </w:tc>
        <w:tc>
          <w:tcPr>
            <w:tcW w:type="dxa" w:w="1000"/>
            <w:tcMar>
              <w:top w:w="90" w:type="dxa"/>
              <w:start w:w="90" w:type="dxa"/>
              <w:bottom w:w="90" w:type="dxa"/>
              <w:end w:w="90" w:type="dxa"/>
            </w:tcMar>
            <w:vAlign w:val="top"/>
          </w:tcPr>
          <w:p>
            <w:pPr>
              <w:spacing w:after="0"/>
            </w:pPr>
            <w:r>
              <w:rPr>
                <w:rFonts w:ascii="Carlito" w:hAnsi="Carlito"/>
                <w:color w:val="233440"/>
                <w:sz w:val="16"/>
              </w:rPr>
              <w:t>Opcional / email mínimo</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6"/>
              </w:rPr>
              <w:t>Calendarios M365</w:t>
            </w:r>
          </w:p>
        </w:tc>
        <w:tc>
          <w:tcPr>
            <w:tcW w:type="dxa" w:w="4200"/>
            <w:shd w:fill="FAFBFC"/>
            <w:tcMar>
              <w:top w:w="90" w:type="dxa"/>
              <w:start w:w="90" w:type="dxa"/>
              <w:bottom w:w="90" w:type="dxa"/>
              <w:end w:w="90" w:type="dxa"/>
            </w:tcMar>
            <w:vAlign w:val="top"/>
          </w:tcPr>
          <w:p>
            <w:pPr>
              <w:spacing w:after="0"/>
            </w:pPr>
            <w:r>
              <w:rPr>
                <w:rFonts w:ascii="Carlito" w:hAnsi="Carlito"/>
                <w:color w:val="233440"/>
                <w:sz w:val="16"/>
              </w:rPr>
              <w:t>No usar como fuente de verdad. Podría publicarse una ausencia aprobada en una fase futura.</w:t>
            </w:r>
          </w:p>
        </w:tc>
        <w:tc>
          <w:tcPr>
            <w:tcW w:type="dxa" w:w="1000"/>
            <w:shd w:fill="FAFBFC"/>
            <w:tcMar>
              <w:top w:w="90" w:type="dxa"/>
              <w:start w:w="90" w:type="dxa"/>
              <w:bottom w:w="90" w:type="dxa"/>
              <w:end w:w="90" w:type="dxa"/>
            </w:tcMar>
            <w:vAlign w:val="top"/>
          </w:tcPr>
          <w:p>
            <w:pPr>
              <w:spacing w:after="0"/>
            </w:pPr>
            <w:r>
              <w:rPr>
                <w:rFonts w:ascii="Carlito" w:hAnsi="Carlito"/>
                <w:color w:val="233440"/>
                <w:sz w:val="16"/>
              </w:rPr>
              <w:t>No</w:t>
            </w:r>
          </w:p>
        </w:tc>
      </w:tr>
    </w:tbl>
    <w:p>
      <w:pPr>
        <w:spacing w:after="0"/>
      </w:pPr>
    </w:p>
    <w:p>
      <w:pPr>
        <w:pStyle w:val="Heading2"/>
      </w:pPr>
      <w:r>
        <w:t>10.3 Principio de aislamiento de integración</w:t>
      </w:r>
    </w:p>
    <w:p>
      <w:pPr>
        <w:spacing w:after="120" w:line="259" w:lineRule="auto"/>
      </w:pPr>
      <w:r>
        <w:rPr>
          <w:rFonts w:ascii="Carlito" w:hAnsi="Carlito"/>
          <w:color w:val="233440"/>
          <w:sz w:val="20"/>
        </w:rPr>
        <w:t>El dominio nunca debe depender de nombres de columnas de SharePoint ni de estructuras Graph. La capa de integración transforma datos externos a contratos internos. Esto permite retirar SharePoint sin reescribir las reglas de licencias.</w:t>
      </w:r>
    </w:p>
    <w:p>
      <w:pPr>
        <w:pStyle w:val="Heading1"/>
      </w:pPr>
      <w:r>
        <w:t>11. Estrategia de migración desde SharePoint</w:t>
      </w:r>
    </w:p>
    <w:p>
      <w:pPr>
        <w:pStyle w:val="Heading2"/>
      </w:pPr>
      <w:r>
        <w:t>11.1 Enfoque recomendado</w:t>
      </w:r>
    </w:p>
    <w:p>
      <w:pPr>
        <w:spacing w:after="60"/>
        <w:ind w:left="29" w:hanging="29"/>
      </w:pPr>
      <w:r>
        <w:rPr>
          <w:rFonts w:ascii="Carlito" w:hAnsi="Carlito"/>
          <w:b/>
          <w:color w:val="233440"/>
          <w:sz w:val="20"/>
        </w:rPr>
        <w:t xml:space="preserve">1.   </w:t>
      </w:r>
      <w:r>
        <w:rPr>
          <w:rFonts w:ascii="Carlito" w:hAnsi="Carlito"/>
          <w:color w:val="233440"/>
          <w:sz w:val="20"/>
        </w:rPr>
        <w:t>Inventariar listas actuales, columnas, tipos, relaciones, vistas, adjuntos y reglas implícitas.</w:t>
      </w:r>
    </w:p>
    <w:p>
      <w:pPr>
        <w:spacing w:after="60"/>
        <w:ind w:left="29" w:hanging="29"/>
      </w:pPr>
      <w:r>
        <w:rPr>
          <w:rFonts w:ascii="Carlito" w:hAnsi="Carlito"/>
          <w:b/>
          <w:color w:val="233440"/>
          <w:sz w:val="20"/>
        </w:rPr>
        <w:t xml:space="preserve">2.   </w:t>
      </w:r>
      <w:r>
        <w:rPr>
          <w:rFonts w:ascii="Carlito" w:hAnsi="Carlito"/>
          <w:color w:val="233440"/>
          <w:sz w:val="20"/>
        </w:rPr>
        <w:t>Definir mapping formal SharePoint → modelo nuevo e identificar datos que no puedan mapearse automáticamente.</w:t>
      </w:r>
    </w:p>
    <w:p>
      <w:pPr>
        <w:spacing w:after="60"/>
        <w:ind w:left="29" w:hanging="29"/>
      </w:pPr>
      <w:r>
        <w:rPr>
          <w:rFonts w:ascii="Carlito" w:hAnsi="Carlito"/>
          <w:b/>
          <w:color w:val="233440"/>
          <w:sz w:val="20"/>
        </w:rPr>
        <w:t xml:space="preserve">3.   </w:t>
      </w:r>
      <w:r>
        <w:rPr>
          <w:rFonts w:ascii="Carlito" w:hAnsi="Carlito"/>
          <w:color w:val="233440"/>
          <w:sz w:val="20"/>
        </w:rPr>
        <w:t>Crear ambiente de ensayo y realizar una importación completa de prueba.</w:t>
      </w:r>
    </w:p>
    <w:p>
      <w:pPr>
        <w:spacing w:after="60"/>
        <w:ind w:left="29" w:hanging="29"/>
      </w:pPr>
      <w:r>
        <w:rPr>
          <w:rFonts w:ascii="Carlito" w:hAnsi="Carlito"/>
          <w:b/>
          <w:color w:val="233440"/>
          <w:sz w:val="20"/>
        </w:rPr>
        <w:t xml:space="preserve">4.   </w:t>
      </w:r>
      <w:r>
        <w:rPr>
          <w:rFonts w:ascii="Carlito" w:hAnsi="Carlito"/>
          <w:color w:val="233440"/>
          <w:sz w:val="20"/>
        </w:rPr>
        <w:t>Reconciliar conteos, saldos, solicitudes por estado y adjuntos. Registrar IDs de origen en MigrationMapping.</w:t>
      </w:r>
    </w:p>
    <w:p>
      <w:pPr>
        <w:spacing w:after="60"/>
        <w:ind w:left="29" w:hanging="29"/>
      </w:pPr>
      <w:r>
        <w:rPr>
          <w:rFonts w:ascii="Carlito" w:hAnsi="Carlito"/>
          <w:b/>
          <w:color w:val="233440"/>
          <w:sz w:val="20"/>
        </w:rPr>
        <w:t xml:space="preserve">5.   </w:t>
      </w:r>
      <w:r>
        <w:rPr>
          <w:rFonts w:ascii="Carlito" w:hAnsi="Carlito"/>
          <w:color w:val="233440"/>
          <w:sz w:val="20"/>
        </w:rPr>
        <w:t>Corregir calidad de datos antes del corte: duplicados, usuarios sin identidad válida, fechas inválidas, estados no soportados.</w:t>
      </w:r>
    </w:p>
    <w:p>
      <w:pPr>
        <w:spacing w:after="60"/>
        <w:ind w:left="29" w:hanging="29"/>
      </w:pPr>
      <w:r>
        <w:rPr>
          <w:rFonts w:ascii="Carlito" w:hAnsi="Carlito"/>
          <w:b/>
          <w:color w:val="233440"/>
          <w:sz w:val="20"/>
        </w:rPr>
        <w:t xml:space="preserve">6.   </w:t>
      </w:r>
      <w:r>
        <w:rPr>
          <w:rFonts w:ascii="Carlito" w:hAnsi="Carlito"/>
          <w:color w:val="233440"/>
          <w:sz w:val="20"/>
        </w:rPr>
        <w:t>En ventana de transición, congelar escritura en SharePoint o implementar sincronización incremental controlada.</w:t>
      </w:r>
    </w:p>
    <w:p>
      <w:pPr>
        <w:spacing w:after="60"/>
        <w:ind w:left="29" w:hanging="29"/>
      </w:pPr>
      <w:r>
        <w:rPr>
          <w:rFonts w:ascii="Carlito" w:hAnsi="Carlito"/>
          <w:b/>
          <w:color w:val="233440"/>
          <w:sz w:val="20"/>
        </w:rPr>
        <w:t xml:space="preserve">7.   </w:t>
      </w:r>
      <w:r>
        <w:rPr>
          <w:rFonts w:ascii="Carlito" w:hAnsi="Carlito"/>
          <w:color w:val="233440"/>
          <w:sz w:val="20"/>
        </w:rPr>
        <w:t>Realizar migración final, ejecutar reconciliación y habilitar la nueva aplicación como fuente de verdad.</w:t>
      </w:r>
    </w:p>
    <w:p>
      <w:pPr>
        <w:spacing w:after="60"/>
        <w:ind w:left="29" w:hanging="29"/>
      </w:pPr>
      <w:r>
        <w:rPr>
          <w:rFonts w:ascii="Carlito" w:hAnsi="Carlito"/>
          <w:b/>
          <w:color w:val="233440"/>
          <w:sz w:val="20"/>
        </w:rPr>
        <w:t xml:space="preserve">8.   </w:t>
      </w:r>
      <w:r>
        <w:rPr>
          <w:rFonts w:ascii="Carlito" w:hAnsi="Carlito"/>
          <w:color w:val="233440"/>
          <w:sz w:val="20"/>
        </w:rPr>
        <w:t>Mantener SharePoint histórico en modo lectura durante el período acordado y luego aplicar política de archivo/retención.</w:t>
      </w:r>
    </w:p>
    <w:p>
      <w:pPr>
        <w:pStyle w:val="Heading2"/>
      </w:pPr>
      <w:r>
        <w:t>11.2 Sincronización temporal</w:t>
      </w:r>
    </w:p>
    <w:p>
      <w:pPr>
        <w:spacing w:after="120" w:line="259" w:lineRule="auto"/>
      </w:pPr>
      <w:r>
        <w:rPr>
          <w:rFonts w:ascii="Carlito" w:hAnsi="Carlito"/>
          <w:color w:val="233440"/>
          <w:sz w:val="20"/>
        </w:rPr>
        <w:t>Si la organización no puede congelar SharePoint inmediatamente, Microsoft Graph expone mecanismos para consultar cambios en ítems de listas mediante delta, evitando releer toda la colección en cada ejecución [R7]. Aun así, se recomienda que la coexistencia sea corta: mantener dos fuentes editables aumenta el riesgo de divergencia.</w:t>
      </w:r>
    </w:p>
    <w:p>
      <w:pPr>
        <w:pStyle w:val="Heading2"/>
      </w:pPr>
      <w:r>
        <w:t>11.3 Criterios de reconciliación</w:t>
      </w:r>
    </w:p>
    <w:p>
      <w:pPr>
        <w:pStyle w:val="ListBullet"/>
        <w:spacing w:after="60"/>
      </w:pPr>
      <w:r>
        <w:rPr>
          <w:rFonts w:ascii="Carlito" w:hAnsi="Carlito"/>
          <w:color w:val="233440"/>
          <w:sz w:val="20"/>
        </w:rPr>
        <w:t>Cantidad de usuarios mapeados/no mapeados.</w:t>
      </w:r>
    </w:p>
    <w:p>
      <w:pPr>
        <w:pStyle w:val="ListBullet"/>
        <w:spacing w:after="60"/>
      </w:pPr>
      <w:r>
        <w:rPr>
          <w:rFonts w:ascii="Carlito" w:hAnsi="Carlito"/>
          <w:color w:val="233440"/>
          <w:sz w:val="20"/>
        </w:rPr>
        <w:t>Cantidad de solicitudes por año, tipo y estado.</w:t>
      </w:r>
    </w:p>
    <w:p>
      <w:pPr>
        <w:pStyle w:val="ListBullet"/>
        <w:spacing w:after="60"/>
      </w:pPr>
      <w:r>
        <w:rPr>
          <w:rFonts w:ascii="Carlito" w:hAnsi="Carlito"/>
          <w:color w:val="233440"/>
          <w:sz w:val="20"/>
        </w:rPr>
        <w:t>Suma de días consumidos y pendientes por usuario/bucket.</w:t>
      </w:r>
    </w:p>
    <w:p>
      <w:pPr>
        <w:pStyle w:val="ListBullet"/>
        <w:spacing w:after="60"/>
      </w:pPr>
      <w:r>
        <w:rPr>
          <w:rFonts w:ascii="Carlito" w:hAnsi="Carlito"/>
          <w:color w:val="233440"/>
          <w:sz w:val="20"/>
        </w:rPr>
        <w:t>Adjuntos migrados, fallidos y no soportados.</w:t>
      </w:r>
    </w:p>
    <w:p>
      <w:pPr>
        <w:pStyle w:val="ListBullet"/>
        <w:spacing w:after="60"/>
      </w:pPr>
      <w:r>
        <w:rPr>
          <w:rFonts w:ascii="Carlito" w:hAnsi="Carlito"/>
          <w:color w:val="233440"/>
          <w:sz w:val="20"/>
        </w:rPr>
        <w:t>Hash o identificador de origen para prevenir duplicados.</w:t>
      </w:r>
    </w:p>
    <w:p>
      <w:pPr>
        <w:pStyle w:val="ListBullet"/>
        <w:spacing w:after="60"/>
      </w:pPr>
      <w:r>
        <w:rPr>
          <w:rFonts w:ascii="Carlito" w:hAnsi="Carlito"/>
          <w:color w:val="233440"/>
          <w:sz w:val="20"/>
        </w:rPr>
        <w:t>Reporte de diferencias firmado/aceptado por RRHH antes del go-live.</w:t>
      </w:r>
    </w:p>
    <w:p>
      <w:pPr>
        <w:pStyle w:val="Heading1"/>
      </w:pPr>
      <w:r>
        <w:t>12. Seguridad, privacidad y auditoría</w:t>
      </w:r>
    </w:p>
    <w:p>
      <w:pPr>
        <w:pStyle w:val="Heading2"/>
      </w:pPr>
      <w:r>
        <w:t>12.1 Controles de acceso</w:t>
      </w:r>
    </w:p>
    <w:p>
      <w:pPr>
        <w:pStyle w:val="ListBullet"/>
        <w:spacing w:after="60"/>
      </w:pPr>
      <w:r>
        <w:rPr>
          <w:rFonts w:ascii="Carlito" w:hAnsi="Carlito"/>
          <w:color w:val="233440"/>
          <w:sz w:val="20"/>
        </w:rPr>
        <w:t>Autenticación centralizada con Entra ID; tenant allowlist.</w:t>
      </w:r>
    </w:p>
    <w:p>
      <w:pPr>
        <w:pStyle w:val="ListBullet"/>
        <w:spacing w:after="60"/>
      </w:pPr>
      <w:r>
        <w:rPr>
          <w:rFonts w:ascii="Carlito" w:hAnsi="Carlito"/>
          <w:color w:val="233440"/>
          <w:sz w:val="20"/>
        </w:rPr>
        <w:t>Autorización en backend mediante políticas y scopes internos.</w:t>
      </w:r>
    </w:p>
    <w:p>
      <w:pPr>
        <w:pStyle w:val="ListBullet"/>
        <w:spacing w:after="60"/>
      </w:pPr>
      <w:r>
        <w:rPr>
          <w:rFonts w:ascii="Carlito" w:hAnsi="Carlito"/>
          <w:color w:val="233440"/>
          <w:sz w:val="20"/>
        </w:rPr>
        <w:t>Denegar por defecto: ausencia de permiso explícito implica acceso rechazado.</w:t>
      </w:r>
    </w:p>
    <w:p>
      <w:pPr>
        <w:pStyle w:val="ListBullet"/>
        <w:spacing w:after="60"/>
      </w:pPr>
      <w:r>
        <w:rPr>
          <w:rFonts w:ascii="Carlito" w:hAnsi="Carlito"/>
          <w:color w:val="233440"/>
          <w:sz w:val="20"/>
        </w:rPr>
        <w:t>Filtrado por alcance aplicado en consulta y comando, no solo en UI.</w:t>
      </w:r>
    </w:p>
    <w:p>
      <w:pPr>
        <w:pStyle w:val="ListBullet"/>
        <w:spacing w:after="60"/>
      </w:pPr>
      <w:r>
        <w:rPr>
          <w:rFonts w:ascii="Carlito" w:hAnsi="Carlito"/>
          <w:color w:val="233440"/>
          <w:sz w:val="20"/>
        </w:rPr>
        <w:t>Separación entre administrador técnico y autoridad funcional/RRHH.</w:t>
      </w:r>
    </w:p>
    <w:p>
      <w:pPr>
        <w:pStyle w:val="ListBullet"/>
        <w:spacing w:after="60"/>
      </w:pPr>
      <w:r>
        <w:rPr>
          <w:rFonts w:ascii="Carlito" w:hAnsi="Carlito"/>
          <w:color w:val="233440"/>
          <w:sz w:val="20"/>
        </w:rPr>
        <w:t>Reautorización al acceder a documentos sensibles; no usar URLs públicas permanentes.</w:t>
      </w:r>
    </w:p>
    <w:p>
      <w:pPr>
        <w:pStyle w:val="Heading2"/>
      </w:pPr>
      <w:r>
        <w:t>12.2 Comprobantes médicos y documentos sensibles</w:t>
      </w:r>
    </w:p>
    <w:p>
      <w:pPr>
        <w:pStyle w:val="ListBullet"/>
        <w:spacing w:after="60"/>
      </w:pPr>
      <w:r>
        <w:rPr>
          <w:rFonts w:ascii="Carlito" w:hAnsi="Carlito"/>
          <w:color w:val="233440"/>
          <w:sz w:val="20"/>
        </w:rPr>
        <w:t>Almacenamiento privado; acceso público deshabilitado.</w:t>
      </w:r>
    </w:p>
    <w:p>
      <w:pPr>
        <w:pStyle w:val="ListBullet"/>
        <w:spacing w:after="60"/>
      </w:pPr>
      <w:r>
        <w:rPr>
          <w:rFonts w:ascii="Carlito" w:hAnsi="Carlito"/>
          <w:color w:val="233440"/>
          <w:sz w:val="20"/>
        </w:rPr>
        <w:t>Cifrado en tránsito y en reposo.</w:t>
      </w:r>
    </w:p>
    <w:p>
      <w:pPr>
        <w:pStyle w:val="ListBullet"/>
        <w:spacing w:after="60"/>
      </w:pPr>
      <w:r>
        <w:rPr>
          <w:rFonts w:ascii="Carlito" w:hAnsi="Carlito"/>
          <w:color w:val="233440"/>
          <w:sz w:val="20"/>
        </w:rPr>
        <w:t>Validación de MIME real, extensión, tamaño máximo y nombres seguros.</w:t>
      </w:r>
    </w:p>
    <w:p>
      <w:pPr>
        <w:pStyle w:val="ListBullet"/>
        <w:spacing w:after="60"/>
      </w:pPr>
      <w:r>
        <w:rPr>
          <w:rFonts w:ascii="Carlito" w:hAnsi="Carlito"/>
          <w:color w:val="233440"/>
          <w:sz w:val="20"/>
        </w:rPr>
        <w:t>Escaneo antimalware antes de habilitar descarga/visualización.</w:t>
      </w:r>
    </w:p>
    <w:p>
      <w:pPr>
        <w:pStyle w:val="ListBullet"/>
        <w:spacing w:after="60"/>
      </w:pPr>
      <w:r>
        <w:rPr>
          <w:rFonts w:ascii="Carlito" w:hAnsi="Carlito"/>
          <w:color w:val="233440"/>
          <w:sz w:val="20"/>
        </w:rPr>
        <w:t>Acceso a través del backend o URL delegada de vida corta emitida después de validar permiso.</w:t>
      </w:r>
    </w:p>
    <w:p>
      <w:pPr>
        <w:pStyle w:val="ListBullet"/>
        <w:spacing w:after="60"/>
      </w:pPr>
      <w:r>
        <w:rPr>
          <w:rFonts w:ascii="Carlito" w:hAnsi="Carlito"/>
          <w:color w:val="233440"/>
          <w:sz w:val="20"/>
        </w:rPr>
        <w:t>Registro de quién consultó/descargó documentos sensibles.</w:t>
      </w:r>
    </w:p>
    <w:p>
      <w:pPr>
        <w:pStyle w:val="ListBullet"/>
        <w:spacing w:after="60"/>
      </w:pPr>
      <w:r>
        <w:rPr>
          <w:rFonts w:ascii="Carlito" w:hAnsi="Carlito"/>
          <w:color w:val="233440"/>
          <w:sz w:val="20"/>
        </w:rPr>
        <w:t>Política de retención y eliminación definida con RRHH/Legal según normativa aplicable; no fijarla en código.</w:t>
      </w:r>
    </w:p>
    <w:p>
      <w:pPr>
        <w:pStyle w:val="Heading2"/>
      </w:pPr>
      <w:r>
        <w:t>12.3 Auditoría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00"/>
            <w:shd w:fill="294C60"/>
            <w:tcMar>
              <w:top w:w="90" w:type="dxa"/>
              <w:start w:w="90" w:type="dxa"/>
              <w:bottom w:w="90" w:type="dxa"/>
              <w:end w:w="90" w:type="dxa"/>
            </w:tcMar>
            <w:vAlign w:val="center"/>
          </w:tcPr>
          <w:p>
            <w:pPr>
              <w:jc w:val="left"/>
            </w:pPr>
            <w:r>
              <w:rPr>
                <w:rFonts w:ascii="Carlito" w:hAnsi="Carlito"/>
                <w:b/>
                <w:color w:val="FFFFFF"/>
                <w:sz w:val="16"/>
              </w:rPr>
              <w:t>Evento a auditar</w:t>
            </w:r>
          </w:p>
        </w:tc>
        <w:tc>
          <w:tcPr>
            <w:tcW w:type="dxa" w:w="4600"/>
            <w:shd w:fill="294C60"/>
            <w:tcMar>
              <w:top w:w="90" w:type="dxa"/>
              <w:start w:w="90" w:type="dxa"/>
              <w:bottom w:w="90" w:type="dxa"/>
              <w:end w:w="90" w:type="dxa"/>
            </w:tcMar>
            <w:vAlign w:val="center"/>
          </w:tcPr>
          <w:p>
            <w:pPr>
              <w:jc w:val="left"/>
            </w:pPr>
            <w:r>
              <w:rPr>
                <w:rFonts w:ascii="Carlito" w:hAnsi="Carlito"/>
                <w:b/>
                <w:color w:val="FFFFFF"/>
                <w:sz w:val="16"/>
              </w:rPr>
              <w:t>Datos mínimos</w:t>
            </w:r>
          </w:p>
        </w:tc>
      </w:tr>
      <w:tr>
        <w:trPr>
          <w:cantSplit/>
        </w:trPr>
        <w:tc>
          <w:tcPr>
            <w:tcW w:type="dxa" w:w="2200"/>
            <w:tcMar>
              <w:top w:w="90" w:type="dxa"/>
              <w:start w:w="90" w:type="dxa"/>
              <w:bottom w:w="90" w:type="dxa"/>
              <w:end w:w="90" w:type="dxa"/>
            </w:tcMar>
            <w:vAlign w:val="top"/>
          </w:tcPr>
          <w:p>
            <w:pPr>
              <w:spacing w:after="0"/>
            </w:pPr>
            <w:r>
              <w:rPr>
                <w:rFonts w:ascii="Carlito" w:hAnsi="Carlito"/>
                <w:color w:val="233440"/>
                <w:sz w:val="16"/>
              </w:rPr>
              <w:t>Login / fallo de acceso</w:t>
            </w:r>
          </w:p>
        </w:tc>
        <w:tc>
          <w:tcPr>
            <w:tcW w:type="dxa" w:w="4600"/>
            <w:tcMar>
              <w:top w:w="90" w:type="dxa"/>
              <w:start w:w="90" w:type="dxa"/>
              <w:bottom w:w="90" w:type="dxa"/>
              <w:end w:w="90" w:type="dxa"/>
            </w:tcMar>
            <w:vAlign w:val="top"/>
          </w:tcPr>
          <w:p>
            <w:pPr>
              <w:spacing w:after="0"/>
            </w:pPr>
            <w:r>
              <w:rPr>
                <w:rFonts w:ascii="Carlito" w:hAnsi="Carlito"/>
                <w:color w:val="233440"/>
                <w:sz w:val="16"/>
              </w:rPr>
              <w:t>Usuario, tenant, timestamp, resultado, correlationId.</w:t>
            </w:r>
          </w:p>
        </w:tc>
      </w:tr>
      <w:tr>
        <w:trPr>
          <w:cantSplit/>
        </w:trPr>
        <w:tc>
          <w:tcPr>
            <w:tcW w:type="dxa" w:w="2200"/>
            <w:shd w:fill="FAFBFC"/>
            <w:tcMar>
              <w:top w:w="90" w:type="dxa"/>
              <w:start w:w="90" w:type="dxa"/>
              <w:bottom w:w="90" w:type="dxa"/>
              <w:end w:w="90" w:type="dxa"/>
            </w:tcMar>
            <w:vAlign w:val="top"/>
          </w:tcPr>
          <w:p>
            <w:pPr>
              <w:spacing w:after="0"/>
            </w:pPr>
            <w:r>
              <w:rPr>
                <w:rFonts w:ascii="Carlito" w:hAnsi="Carlito"/>
                <w:color w:val="233440"/>
                <w:sz w:val="16"/>
              </w:rPr>
              <w:t>Crear/enviar solicitud</w:t>
            </w:r>
          </w:p>
        </w:tc>
        <w:tc>
          <w:tcPr>
            <w:tcW w:type="dxa" w:w="4600"/>
            <w:shd w:fill="FAFBFC"/>
            <w:tcMar>
              <w:top w:w="90" w:type="dxa"/>
              <w:start w:w="90" w:type="dxa"/>
              <w:bottom w:w="90" w:type="dxa"/>
              <w:end w:w="90" w:type="dxa"/>
            </w:tcMar>
            <w:vAlign w:val="top"/>
          </w:tcPr>
          <w:p>
            <w:pPr>
              <w:spacing w:after="0"/>
            </w:pPr>
            <w:r>
              <w:rPr>
                <w:rFonts w:ascii="Carlito" w:hAnsi="Carlito"/>
                <w:color w:val="233440"/>
                <w:sz w:val="16"/>
              </w:rPr>
              <w:t>Actor, solicitud, política aplicada, días calculados, valores relevantes.</w:t>
            </w:r>
          </w:p>
        </w:tc>
      </w:tr>
      <w:tr>
        <w:trPr>
          <w:cantSplit/>
        </w:trPr>
        <w:tc>
          <w:tcPr>
            <w:tcW w:type="dxa" w:w="2200"/>
            <w:tcMar>
              <w:top w:w="90" w:type="dxa"/>
              <w:start w:w="90" w:type="dxa"/>
              <w:bottom w:w="90" w:type="dxa"/>
              <w:end w:w="90" w:type="dxa"/>
            </w:tcMar>
            <w:vAlign w:val="top"/>
          </w:tcPr>
          <w:p>
            <w:pPr>
              <w:spacing w:after="0"/>
            </w:pPr>
            <w:r>
              <w:rPr>
                <w:rFonts w:ascii="Carlito" w:hAnsi="Carlito"/>
                <w:color w:val="233440"/>
                <w:sz w:val="16"/>
              </w:rPr>
              <w:t>Aprobar/rechazar/cancelar/revocar</w:t>
            </w:r>
          </w:p>
        </w:tc>
        <w:tc>
          <w:tcPr>
            <w:tcW w:type="dxa" w:w="4600"/>
            <w:tcMar>
              <w:top w:w="90" w:type="dxa"/>
              <w:start w:w="90" w:type="dxa"/>
              <w:bottom w:w="90" w:type="dxa"/>
              <w:end w:w="90" w:type="dxa"/>
            </w:tcMar>
            <w:vAlign w:val="top"/>
          </w:tcPr>
          <w:p>
            <w:pPr>
              <w:spacing w:after="0"/>
            </w:pPr>
            <w:r>
              <w:rPr>
                <w:rFonts w:ascii="Carlito" w:hAnsi="Carlito"/>
                <w:color w:val="233440"/>
                <w:sz w:val="16"/>
              </w:rPr>
              <w:t>Actor, decisión, motivo/comentario, estado anterior/nuevo.</w:t>
            </w:r>
          </w:p>
        </w:tc>
      </w:tr>
      <w:tr>
        <w:trPr>
          <w:cantSplit/>
        </w:trPr>
        <w:tc>
          <w:tcPr>
            <w:tcW w:type="dxa" w:w="2200"/>
            <w:shd w:fill="FAFBFC"/>
            <w:tcMar>
              <w:top w:w="90" w:type="dxa"/>
              <w:start w:w="90" w:type="dxa"/>
              <w:bottom w:w="90" w:type="dxa"/>
              <w:end w:w="90" w:type="dxa"/>
            </w:tcMar>
            <w:vAlign w:val="top"/>
          </w:tcPr>
          <w:p>
            <w:pPr>
              <w:spacing w:after="0"/>
            </w:pPr>
            <w:r>
              <w:rPr>
                <w:rFonts w:ascii="Carlito" w:hAnsi="Carlito"/>
                <w:color w:val="233440"/>
                <w:sz w:val="16"/>
              </w:rPr>
              <w:t>Ajuste de saldo</w:t>
            </w:r>
          </w:p>
        </w:tc>
        <w:tc>
          <w:tcPr>
            <w:tcW w:type="dxa" w:w="4600"/>
            <w:shd w:fill="FAFBFC"/>
            <w:tcMar>
              <w:top w:w="90" w:type="dxa"/>
              <w:start w:w="90" w:type="dxa"/>
              <w:bottom w:w="90" w:type="dxa"/>
              <w:end w:w="90" w:type="dxa"/>
            </w:tcMar>
            <w:vAlign w:val="top"/>
          </w:tcPr>
          <w:p>
            <w:pPr>
              <w:spacing w:after="0"/>
            </w:pPr>
            <w:r>
              <w:rPr>
                <w:rFonts w:ascii="Carlito" w:hAnsi="Carlito"/>
                <w:color w:val="233440"/>
                <w:sz w:val="16"/>
              </w:rPr>
              <w:t>Actor, cantidad, bucket, motivo, saldo derivado antes/después.</w:t>
            </w:r>
          </w:p>
        </w:tc>
      </w:tr>
      <w:tr>
        <w:trPr>
          <w:cantSplit/>
        </w:trPr>
        <w:tc>
          <w:tcPr>
            <w:tcW w:type="dxa" w:w="2200"/>
            <w:tcMar>
              <w:top w:w="90" w:type="dxa"/>
              <w:start w:w="90" w:type="dxa"/>
              <w:bottom w:w="90" w:type="dxa"/>
              <w:end w:w="90" w:type="dxa"/>
            </w:tcMar>
            <w:vAlign w:val="top"/>
          </w:tcPr>
          <w:p>
            <w:pPr>
              <w:spacing w:after="0"/>
            </w:pPr>
            <w:r>
              <w:rPr>
                <w:rFonts w:ascii="Carlito" w:hAnsi="Carlito"/>
                <w:color w:val="233440"/>
                <w:sz w:val="16"/>
              </w:rPr>
              <w:t>Cambio de política</w:t>
            </w:r>
          </w:p>
        </w:tc>
        <w:tc>
          <w:tcPr>
            <w:tcW w:type="dxa" w:w="4600"/>
            <w:tcMar>
              <w:top w:w="90" w:type="dxa"/>
              <w:start w:w="90" w:type="dxa"/>
              <w:bottom w:w="90" w:type="dxa"/>
              <w:end w:w="90" w:type="dxa"/>
            </w:tcMar>
            <w:vAlign w:val="top"/>
          </w:tcPr>
          <w:p>
            <w:pPr>
              <w:spacing w:after="0"/>
            </w:pPr>
            <w:r>
              <w:rPr>
                <w:rFonts w:ascii="Carlito" w:hAnsi="Carlito"/>
                <w:color w:val="233440"/>
                <w:sz w:val="16"/>
              </w:rPr>
              <w:t>Actor, versión anterior/nueva, vigencia, diff.</w:t>
            </w:r>
          </w:p>
        </w:tc>
      </w:tr>
      <w:tr>
        <w:trPr>
          <w:cantSplit/>
        </w:trPr>
        <w:tc>
          <w:tcPr>
            <w:tcW w:type="dxa" w:w="2200"/>
            <w:shd w:fill="FAFBFC"/>
            <w:tcMar>
              <w:top w:w="90" w:type="dxa"/>
              <w:start w:w="90" w:type="dxa"/>
              <w:bottom w:w="90" w:type="dxa"/>
              <w:end w:w="90" w:type="dxa"/>
            </w:tcMar>
            <w:vAlign w:val="top"/>
          </w:tcPr>
          <w:p>
            <w:pPr>
              <w:spacing w:after="0"/>
            </w:pPr>
            <w:r>
              <w:rPr>
                <w:rFonts w:ascii="Carlito" w:hAnsi="Carlito"/>
                <w:color w:val="233440"/>
                <w:sz w:val="16"/>
              </w:rPr>
              <w:t>Cambio de organización/permisos</w:t>
            </w:r>
          </w:p>
        </w:tc>
        <w:tc>
          <w:tcPr>
            <w:tcW w:type="dxa" w:w="4600"/>
            <w:shd w:fill="FAFBFC"/>
            <w:tcMar>
              <w:top w:w="90" w:type="dxa"/>
              <w:start w:w="90" w:type="dxa"/>
              <w:bottom w:w="90" w:type="dxa"/>
              <w:end w:w="90" w:type="dxa"/>
            </w:tcMar>
            <w:vAlign w:val="top"/>
          </w:tcPr>
          <w:p>
            <w:pPr>
              <w:spacing w:after="0"/>
            </w:pPr>
            <w:r>
              <w:rPr>
                <w:rFonts w:ascii="Carlito" w:hAnsi="Carlito"/>
                <w:color w:val="233440"/>
                <w:sz w:val="16"/>
              </w:rPr>
              <w:t>Actor, usuario afectado, scope, rol, before/after.</w:t>
            </w:r>
          </w:p>
        </w:tc>
      </w:tr>
      <w:tr>
        <w:trPr>
          <w:cantSplit/>
        </w:trPr>
        <w:tc>
          <w:tcPr>
            <w:tcW w:type="dxa" w:w="2200"/>
            <w:tcMar>
              <w:top w:w="90" w:type="dxa"/>
              <w:start w:w="90" w:type="dxa"/>
              <w:bottom w:w="90" w:type="dxa"/>
              <w:end w:w="90" w:type="dxa"/>
            </w:tcMar>
            <w:vAlign w:val="top"/>
          </w:tcPr>
          <w:p>
            <w:pPr>
              <w:spacing w:after="0"/>
            </w:pPr>
            <w:r>
              <w:rPr>
                <w:rFonts w:ascii="Carlito" w:hAnsi="Carlito"/>
                <w:color w:val="233440"/>
                <w:sz w:val="16"/>
              </w:rPr>
              <w:t>Acceso a adjunto sensible</w:t>
            </w:r>
          </w:p>
        </w:tc>
        <w:tc>
          <w:tcPr>
            <w:tcW w:type="dxa" w:w="4600"/>
            <w:tcMar>
              <w:top w:w="90" w:type="dxa"/>
              <w:start w:w="90" w:type="dxa"/>
              <w:bottom w:w="90" w:type="dxa"/>
              <w:end w:w="90" w:type="dxa"/>
            </w:tcMar>
            <w:vAlign w:val="top"/>
          </w:tcPr>
          <w:p>
            <w:pPr>
              <w:spacing w:after="0"/>
            </w:pPr>
            <w:r>
              <w:rPr>
                <w:rFonts w:ascii="Carlito" w:hAnsi="Carlito"/>
                <w:color w:val="233440"/>
                <w:sz w:val="16"/>
              </w:rPr>
              <w:t>Actor, documento, acción, resultado.</w:t>
            </w:r>
          </w:p>
        </w:tc>
      </w:tr>
      <w:tr>
        <w:trPr>
          <w:cantSplit/>
        </w:trPr>
        <w:tc>
          <w:tcPr>
            <w:tcW w:type="dxa" w:w="2200"/>
            <w:shd w:fill="FAFBFC"/>
            <w:tcMar>
              <w:top w:w="90" w:type="dxa"/>
              <w:start w:w="90" w:type="dxa"/>
              <w:bottom w:w="90" w:type="dxa"/>
              <w:end w:w="90" w:type="dxa"/>
            </w:tcMar>
            <w:vAlign w:val="top"/>
          </w:tcPr>
          <w:p>
            <w:pPr>
              <w:spacing w:after="0"/>
            </w:pPr>
            <w:r>
              <w:rPr>
                <w:rFonts w:ascii="Carlito" w:hAnsi="Carlito"/>
                <w:color w:val="233440"/>
                <w:sz w:val="16"/>
              </w:rPr>
              <w:t>Migración</w:t>
            </w:r>
          </w:p>
        </w:tc>
        <w:tc>
          <w:tcPr>
            <w:tcW w:type="dxa" w:w="4600"/>
            <w:shd w:fill="FAFBFC"/>
            <w:tcMar>
              <w:top w:w="90" w:type="dxa"/>
              <w:start w:w="90" w:type="dxa"/>
              <w:bottom w:w="90" w:type="dxa"/>
              <w:end w:w="90" w:type="dxa"/>
            </w:tcMar>
            <w:vAlign w:val="top"/>
          </w:tcPr>
          <w:p>
            <w:pPr>
              <w:spacing w:after="0"/>
            </w:pPr>
            <w:r>
              <w:rPr>
                <w:rFonts w:ascii="Carlito" w:hAnsi="Carlito"/>
                <w:color w:val="233440"/>
                <w:sz w:val="16"/>
              </w:rPr>
              <w:t>Proceso, lote, origen, resultado, errores.</w:t>
            </w:r>
          </w:p>
        </w:tc>
      </w:tr>
    </w:tbl>
    <w:p>
      <w:pPr>
        <w:spacing w:after="0"/>
      </w:pPr>
    </w:p>
    <w:p>
      <w:pPr>
        <w:pStyle w:val="Heading2"/>
      </w:pPr>
      <w:r>
        <w:t>12.4 Logs vs auditoría</w:t>
      </w:r>
    </w:p>
    <w:p>
      <w:pPr>
        <w:spacing w:after="120" w:line="259" w:lineRule="auto"/>
      </w:pPr>
      <w:r>
        <w:rPr>
          <w:rFonts w:ascii="Carlito" w:hAnsi="Carlito"/>
          <w:color w:val="233440"/>
          <w:sz w:val="20"/>
        </w:rPr>
        <w:t>Los logs técnicos sirven para operación y troubleshooting y pueden rotarse. La auditoría de negocio es evidencia funcional y requiere una política de conservación diferenciada. No se deben registrar tokens, secretos ni contenido médico en logs de aplicación.</w:t>
      </w:r>
    </w:p>
    <w:p>
      <w:pPr>
        <w:pStyle w:val="Heading1"/>
      </w:pPr>
      <w:r>
        <w:t>13. Requisitos no funcionales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00"/>
            <w:shd w:fill="294C60"/>
            <w:tcMar>
              <w:top w:w="90" w:type="dxa"/>
              <w:start w:w="90" w:type="dxa"/>
              <w:bottom w:w="90" w:type="dxa"/>
              <w:end w:w="90" w:type="dxa"/>
            </w:tcMar>
            <w:vAlign w:val="center"/>
          </w:tcPr>
          <w:p>
            <w:pPr>
              <w:jc w:val="left"/>
            </w:pPr>
            <w:r>
              <w:rPr>
                <w:rFonts w:ascii="Carlito" w:hAnsi="Carlito"/>
                <w:b/>
                <w:color w:val="FFFFFF"/>
                <w:sz w:val="17"/>
              </w:rPr>
              <w:t>Área</w:t>
            </w:r>
          </w:p>
        </w:tc>
        <w:tc>
          <w:tcPr>
            <w:tcW w:type="dxa" w:w="5200"/>
            <w:shd w:fill="294C60"/>
            <w:tcMar>
              <w:top w:w="90" w:type="dxa"/>
              <w:start w:w="90" w:type="dxa"/>
              <w:bottom w:w="90" w:type="dxa"/>
              <w:end w:w="90" w:type="dxa"/>
            </w:tcMar>
            <w:vAlign w:val="center"/>
          </w:tcPr>
          <w:p>
            <w:pPr>
              <w:jc w:val="left"/>
            </w:pPr>
            <w:r>
              <w:rPr>
                <w:rFonts w:ascii="Carlito" w:hAnsi="Carlito"/>
                <w:b/>
                <w:color w:val="FFFFFF"/>
                <w:sz w:val="17"/>
              </w:rPr>
              <w:t>Objetivo inicial propuesto</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Disponibilidad</w:t>
            </w:r>
          </w:p>
        </w:tc>
        <w:tc>
          <w:tcPr>
            <w:tcW w:type="dxa" w:w="5200"/>
            <w:tcMar>
              <w:top w:w="90" w:type="dxa"/>
              <w:start w:w="90" w:type="dxa"/>
              <w:bottom w:w="90" w:type="dxa"/>
              <w:end w:w="90" w:type="dxa"/>
            </w:tcMar>
            <w:vAlign w:val="top"/>
          </w:tcPr>
          <w:p>
            <w:pPr>
              <w:spacing w:after="0"/>
            </w:pPr>
            <w:r>
              <w:rPr>
                <w:rFonts w:ascii="Carlito" w:hAnsi="Carlito"/>
                <w:color w:val="233440"/>
                <w:sz w:val="17"/>
              </w:rPr>
              <w:t>Objetivo empresarial a acordar; diseño stateless del backend para permitir múltiples instancias.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Rendimiento</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Pantallas habituales &lt;2 s en condiciones normales; operaciones de negocio &lt;3 s salvo integraciones externas.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Escalabilidad</w:t>
            </w:r>
          </w:p>
        </w:tc>
        <w:tc>
          <w:tcPr>
            <w:tcW w:type="dxa" w:w="5200"/>
            <w:tcMar>
              <w:top w:w="90" w:type="dxa"/>
              <w:start w:w="90" w:type="dxa"/>
              <w:bottom w:w="90" w:type="dxa"/>
              <w:end w:w="90" w:type="dxa"/>
            </w:tcMar>
            <w:vAlign w:val="top"/>
          </w:tcPr>
          <w:p>
            <w:pPr>
              <w:spacing w:after="0"/>
            </w:pPr>
            <w:r>
              <w:rPr>
                <w:rFonts w:ascii="Carlito" w:hAnsi="Carlito"/>
                <w:color w:val="233440"/>
                <w:sz w:val="17"/>
              </w:rPr>
              <w:t>Escala horizontal de frontend/API/worker; base con índices y pool de conexiones.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Seguridad</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OWASP ASVS/Top 10 como guía; SAST/dependency scanning; secretos fuera del repositorio.</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Accesibilidad</w:t>
            </w:r>
          </w:p>
        </w:tc>
        <w:tc>
          <w:tcPr>
            <w:tcW w:type="dxa" w:w="5200"/>
            <w:tcMar>
              <w:top w:w="90" w:type="dxa"/>
              <w:start w:w="90" w:type="dxa"/>
              <w:bottom w:w="90" w:type="dxa"/>
              <w:end w:w="90" w:type="dxa"/>
            </w:tcMar>
            <w:vAlign w:val="top"/>
          </w:tcPr>
          <w:p>
            <w:pPr>
              <w:spacing w:after="0"/>
            </w:pPr>
            <w:r>
              <w:rPr>
                <w:rFonts w:ascii="Carlito" w:hAnsi="Carlito"/>
                <w:color w:val="233440"/>
                <w:sz w:val="17"/>
              </w:rPr>
              <w:t>Objetivo WCAG 2.1 AA para flujos principales.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Responsive</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Soporte para desktop, tablet y celular sin funcionalidades críticas exclusivas de un tamaño.</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Observabilidad</w:t>
            </w:r>
          </w:p>
        </w:tc>
        <w:tc>
          <w:tcPr>
            <w:tcW w:type="dxa" w:w="5200"/>
            <w:tcMar>
              <w:top w:w="90" w:type="dxa"/>
              <w:start w:w="90" w:type="dxa"/>
              <w:bottom w:w="90" w:type="dxa"/>
              <w:end w:w="90" w:type="dxa"/>
            </w:tcMar>
            <w:vAlign w:val="top"/>
          </w:tcPr>
          <w:p>
            <w:pPr>
              <w:spacing w:after="0"/>
            </w:pPr>
            <w:r>
              <w:rPr>
                <w:rFonts w:ascii="Carlito" w:hAnsi="Carlito"/>
                <w:color w:val="233440"/>
                <w:sz w:val="17"/>
              </w:rPr>
              <w:t>Logs estructurados, métricas, trazas, correlationId y alertas.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Backup</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Backups automáticos de BD y storage; restauración probada periódicamente.</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RPO/RTO</w:t>
            </w:r>
          </w:p>
        </w:tc>
        <w:tc>
          <w:tcPr>
            <w:tcW w:type="dxa" w:w="5200"/>
            <w:tcMar>
              <w:top w:w="90" w:type="dxa"/>
              <w:start w:w="90" w:type="dxa"/>
              <w:bottom w:w="90" w:type="dxa"/>
              <w:end w:w="90" w:type="dxa"/>
            </w:tcMar>
            <w:vAlign w:val="top"/>
          </w:tcPr>
          <w:p>
            <w:pPr>
              <w:spacing w:after="0"/>
            </w:pPr>
            <w:r>
              <w:rPr>
                <w:rFonts w:ascii="Carlito" w:hAnsi="Carlito"/>
                <w:color w:val="233440"/>
                <w:sz w:val="17"/>
              </w:rPr>
              <w:t>Definir con negocio antes de producción; documentar procedimiento de recuperación.</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Compatibilidad</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Últimas versiones soportadas de Edge/Chrome; Safari móvil si la población lo requiere.</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Localización</w:t>
            </w:r>
          </w:p>
        </w:tc>
        <w:tc>
          <w:tcPr>
            <w:tcW w:type="dxa" w:w="5200"/>
            <w:tcMar>
              <w:top w:w="90" w:type="dxa"/>
              <w:start w:w="90" w:type="dxa"/>
              <w:bottom w:w="90" w:type="dxa"/>
              <w:end w:w="90" w:type="dxa"/>
            </w:tcMar>
            <w:vAlign w:val="top"/>
          </w:tcPr>
          <w:p>
            <w:pPr>
              <w:spacing w:after="0"/>
            </w:pPr>
            <w:r>
              <w:rPr>
                <w:rFonts w:ascii="Carlito" w:hAnsi="Carlito"/>
                <w:color w:val="233440"/>
                <w:sz w:val="17"/>
              </w:rPr>
              <w:t>Español inicial; arquitectura preparada para i18n si se necesitara.</w:t>
            </w:r>
          </w:p>
        </w:tc>
      </w:tr>
    </w:tbl>
    <w:p>
      <w:pPr>
        <w:spacing w:after="0"/>
      </w:pPr>
    </w:p>
    <w:p>
      <w:pPr>
        <w:pStyle w:val="Heading1"/>
      </w:pPr>
      <w:r>
        <w:t>14. Pantallas del MVP</w:t>
      </w:r>
    </w:p>
    <w:p>
      <w:pPr>
        <w:pStyle w:val="Heading2"/>
      </w:pPr>
      <w:r>
        <w:t>14.1 Empleado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00"/>
            <w:shd w:fill="294C60"/>
            <w:tcMar>
              <w:top w:w="90" w:type="dxa"/>
              <w:start w:w="90" w:type="dxa"/>
              <w:bottom w:w="90" w:type="dxa"/>
              <w:end w:w="90" w:type="dxa"/>
            </w:tcMar>
            <w:vAlign w:val="center"/>
          </w:tcPr>
          <w:p>
            <w:pPr>
              <w:jc w:val="left"/>
            </w:pPr>
            <w:r>
              <w:rPr>
                <w:rFonts w:ascii="Carlito" w:hAnsi="Carlito"/>
                <w:b/>
                <w:color w:val="FFFFFF"/>
                <w:sz w:val="17"/>
              </w:rPr>
              <w:t>ID / Pantalla</w:t>
            </w:r>
          </w:p>
        </w:tc>
        <w:tc>
          <w:tcPr>
            <w:tcW w:type="dxa" w:w="4700"/>
            <w:shd w:fill="294C60"/>
            <w:tcMar>
              <w:top w:w="90" w:type="dxa"/>
              <w:start w:w="90" w:type="dxa"/>
              <w:bottom w:w="90" w:type="dxa"/>
              <w:end w:w="90" w:type="dxa"/>
            </w:tcMar>
            <w:vAlign w:val="center"/>
          </w:tcPr>
          <w:p>
            <w:pPr>
              <w:jc w:val="left"/>
            </w:pPr>
            <w:r>
              <w:rPr>
                <w:rFonts w:ascii="Carlito" w:hAnsi="Carlito"/>
                <w:b/>
                <w:color w:val="FFFFFF"/>
                <w:sz w:val="17"/>
              </w:rPr>
              <w:t>Contenido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E-01 Inicio / Mi resumen</w:t>
            </w:r>
          </w:p>
        </w:tc>
        <w:tc>
          <w:tcPr>
            <w:tcW w:type="dxa" w:w="4700"/>
            <w:tcMar>
              <w:top w:w="90" w:type="dxa"/>
              <w:start w:w="90" w:type="dxa"/>
              <w:bottom w:w="90" w:type="dxa"/>
              <w:end w:w="90" w:type="dxa"/>
            </w:tcMar>
            <w:vAlign w:val="top"/>
          </w:tcPr>
          <w:p>
            <w:pPr>
              <w:spacing w:after="0"/>
            </w:pPr>
            <w:r>
              <w:rPr>
                <w:rFonts w:ascii="Carlito" w:hAnsi="Carlito"/>
                <w:color w:val="233440"/>
                <w:sz w:val="17"/>
              </w:rPr>
              <w:t>Tarjetas de saldo por bucket, pendiente, consumido, próximas licencias, alertas y CTA “Solicitar licencia”.</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E-02 Nueva solicitud</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Tipo, fecha inicio/fin, selector AM/PM si aplica, días calculados, comentario, adjunto y mensajes de reglas/conflictos.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E-03 Mis solicitudes</w:t>
            </w:r>
          </w:p>
        </w:tc>
        <w:tc>
          <w:tcPr>
            <w:tcW w:type="dxa" w:w="4700"/>
            <w:tcMar>
              <w:top w:w="90" w:type="dxa"/>
              <w:start w:w="90" w:type="dxa"/>
              <w:bottom w:w="90" w:type="dxa"/>
              <w:end w:w="90" w:type="dxa"/>
            </w:tcMar>
            <w:vAlign w:val="top"/>
          </w:tcPr>
          <w:p>
            <w:pPr>
              <w:spacing w:after="0"/>
            </w:pPr>
            <w:r>
              <w:rPr>
                <w:rFonts w:ascii="Carlito" w:hAnsi="Carlito"/>
                <w:color w:val="233440"/>
                <w:sz w:val="17"/>
              </w:rPr>
              <w:t>Listado con filtros por estado, tipo y período; chips de estado y acciones permitidas.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E-04 Detalle de solicitud</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Timeline, días, comentarios, adjuntos, aprobadores/decisiones visibles y acción de solicitar cancelación.</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E-05 Mi saldo / movimientos</w:t>
            </w:r>
          </w:p>
        </w:tc>
        <w:tc>
          <w:tcPr>
            <w:tcW w:type="dxa" w:w="4700"/>
            <w:tcMar>
              <w:top w:w="90" w:type="dxa"/>
              <w:start w:w="90" w:type="dxa"/>
              <w:bottom w:w="90" w:type="dxa"/>
              <w:end w:w="90" w:type="dxa"/>
            </w:tcMar>
            <w:vAlign w:val="top"/>
          </w:tcPr>
          <w:p>
            <w:pPr>
              <w:spacing w:after="0"/>
            </w:pPr>
            <w:r>
              <w:rPr>
                <w:rFonts w:ascii="Carlito" w:hAnsi="Carlito"/>
                <w:color w:val="233440"/>
                <w:sz w:val="17"/>
              </w:rPr>
              <w:t>Desglose otorgado, reservado, consumido, disponible, vencimientos y ledger legible.</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E-06 Mi calendario</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Vista mensual/anual de ausencias propias.</w:t>
            </w:r>
          </w:p>
        </w:tc>
      </w:tr>
    </w:tbl>
    <w:p>
      <w:pPr>
        <w:spacing w:after="0"/>
      </w:pPr>
    </w:p>
    <w:p>
      <w:pPr>
        <w:pStyle w:val="Heading2"/>
      </w:pPr>
      <w:r>
        <w:t>14.2 Supervisor / Encargado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00"/>
            <w:shd w:fill="294C60"/>
            <w:tcMar>
              <w:top w:w="90" w:type="dxa"/>
              <w:start w:w="90" w:type="dxa"/>
              <w:bottom w:w="90" w:type="dxa"/>
              <w:end w:w="90" w:type="dxa"/>
            </w:tcMar>
            <w:vAlign w:val="center"/>
          </w:tcPr>
          <w:p>
            <w:pPr>
              <w:jc w:val="left"/>
            </w:pPr>
            <w:r>
              <w:rPr>
                <w:rFonts w:ascii="Carlito" w:hAnsi="Carlito"/>
                <w:b/>
                <w:color w:val="FFFFFF"/>
                <w:sz w:val="17"/>
              </w:rPr>
              <w:t>ID / Pantalla</w:t>
            </w:r>
          </w:p>
        </w:tc>
        <w:tc>
          <w:tcPr>
            <w:tcW w:type="dxa" w:w="4700"/>
            <w:shd w:fill="294C60"/>
            <w:tcMar>
              <w:top w:w="90" w:type="dxa"/>
              <w:start w:w="90" w:type="dxa"/>
              <w:bottom w:w="90" w:type="dxa"/>
              <w:end w:w="90" w:type="dxa"/>
            </w:tcMar>
            <w:vAlign w:val="center"/>
          </w:tcPr>
          <w:p>
            <w:pPr>
              <w:jc w:val="left"/>
            </w:pPr>
            <w:r>
              <w:rPr>
                <w:rFonts w:ascii="Carlito" w:hAnsi="Carlito"/>
                <w:b/>
                <w:color w:val="FFFFFF"/>
                <w:sz w:val="17"/>
              </w:rPr>
              <w:t>Contenido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M-01 Bandeja de aprobación</w:t>
            </w:r>
          </w:p>
        </w:tc>
        <w:tc>
          <w:tcPr>
            <w:tcW w:type="dxa" w:w="4700"/>
            <w:tcMar>
              <w:top w:w="90" w:type="dxa"/>
              <w:start w:w="90" w:type="dxa"/>
              <w:bottom w:w="90" w:type="dxa"/>
              <w:end w:w="90" w:type="dxa"/>
            </w:tcMar>
            <w:vAlign w:val="top"/>
          </w:tcPr>
          <w:p>
            <w:pPr>
              <w:spacing w:after="0"/>
            </w:pPr>
            <w:r>
              <w:rPr>
                <w:rFonts w:ascii="Carlito" w:hAnsi="Carlito"/>
                <w:color w:val="233440"/>
                <w:sz w:val="17"/>
              </w:rPr>
              <w:t>Pendientes con filtros, días, tipo, solicitante, conflictos y acciones aprobar/rechazar.</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M-02 Mi equipo</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Árbol/unidad, personas visibles, saldos autorizados, próxima ausencia y estado.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M-03 Calendario de equipo</w:t>
            </w:r>
          </w:p>
        </w:tc>
        <w:tc>
          <w:tcPr>
            <w:tcW w:type="dxa" w:w="4700"/>
            <w:tcMar>
              <w:top w:w="90" w:type="dxa"/>
              <w:start w:w="90" w:type="dxa"/>
              <w:bottom w:w="90" w:type="dxa"/>
              <w:end w:w="90" w:type="dxa"/>
            </w:tcMar>
            <w:vAlign w:val="top"/>
          </w:tcPr>
          <w:p>
            <w:pPr>
              <w:spacing w:after="0"/>
            </w:pPr>
            <w:r>
              <w:rPr>
                <w:rFonts w:ascii="Carlito" w:hAnsi="Carlito"/>
                <w:color w:val="233440"/>
                <w:sz w:val="17"/>
              </w:rPr>
              <w:t>Vista por día/semana/mes, filtros por unidad/tipo y alertas de cobertura.</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M-04 Detalle de empleado</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Saldos, historial de licencias y movimientos permitidos; alta manual si tiene permiso.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M-05 Alta manual</w:t>
            </w:r>
          </w:p>
        </w:tc>
        <w:tc>
          <w:tcPr>
            <w:tcW w:type="dxa" w:w="4700"/>
            <w:tcMar>
              <w:top w:w="90" w:type="dxa"/>
              <w:start w:w="90" w:type="dxa"/>
              <w:bottom w:w="90" w:type="dxa"/>
              <w:end w:w="90" w:type="dxa"/>
            </w:tcMar>
            <w:vAlign w:val="top"/>
          </w:tcPr>
          <w:p>
            <w:pPr>
              <w:spacing w:after="0"/>
            </w:pPr>
            <w:r>
              <w:rPr>
                <w:rFonts w:ascii="Carlito" w:hAnsi="Carlito"/>
                <w:color w:val="233440"/>
                <w:sz w:val="17"/>
              </w:rPr>
              <w:t>Crear licencia por tercero, justificar motivo y elegir tratamiento de aprobación según permiso.</w:t>
            </w:r>
          </w:p>
        </w:tc>
      </w:tr>
    </w:tbl>
    <w:p>
      <w:pPr>
        <w:spacing w:after="0"/>
      </w:pPr>
    </w:p>
    <w:p>
      <w:pPr>
        <w:pStyle w:val="Heading2"/>
      </w:pPr>
      <w:r>
        <w:t>14.3 RRHH / Administración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00"/>
            <w:shd w:fill="294C60"/>
            <w:tcMar>
              <w:top w:w="90" w:type="dxa"/>
              <w:start w:w="90" w:type="dxa"/>
              <w:bottom w:w="90" w:type="dxa"/>
              <w:end w:w="90" w:type="dxa"/>
            </w:tcMar>
            <w:vAlign w:val="center"/>
          </w:tcPr>
          <w:p>
            <w:pPr>
              <w:jc w:val="left"/>
            </w:pPr>
            <w:r>
              <w:rPr>
                <w:rFonts w:ascii="Carlito" w:hAnsi="Carlito"/>
                <w:b/>
                <w:color w:val="FFFFFF"/>
                <w:sz w:val="17"/>
              </w:rPr>
              <w:t>ID / Pantalla</w:t>
            </w:r>
          </w:p>
        </w:tc>
        <w:tc>
          <w:tcPr>
            <w:tcW w:type="dxa" w:w="4700"/>
            <w:shd w:fill="294C60"/>
            <w:tcMar>
              <w:top w:w="90" w:type="dxa"/>
              <w:start w:w="90" w:type="dxa"/>
              <w:bottom w:w="90" w:type="dxa"/>
              <w:end w:w="90" w:type="dxa"/>
            </w:tcMar>
            <w:vAlign w:val="center"/>
          </w:tcPr>
          <w:p>
            <w:pPr>
              <w:jc w:val="left"/>
            </w:pPr>
            <w:r>
              <w:rPr>
                <w:rFonts w:ascii="Carlito" w:hAnsi="Carlito"/>
                <w:b/>
                <w:color w:val="FFFFFF"/>
                <w:sz w:val="17"/>
              </w:rPr>
              <w:t>Contenido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R-01 Dashboard RRHH</w:t>
            </w:r>
          </w:p>
        </w:tc>
        <w:tc>
          <w:tcPr>
            <w:tcW w:type="dxa" w:w="4700"/>
            <w:tcMar>
              <w:top w:w="90" w:type="dxa"/>
              <w:start w:w="90" w:type="dxa"/>
              <w:bottom w:w="90" w:type="dxa"/>
              <w:end w:w="90" w:type="dxa"/>
            </w:tcMar>
            <w:vAlign w:val="top"/>
          </w:tcPr>
          <w:p>
            <w:pPr>
              <w:spacing w:after="0"/>
            </w:pPr>
            <w:r>
              <w:rPr>
                <w:rFonts w:ascii="Carlito" w:hAnsi="Carlito"/>
                <w:color w:val="233440"/>
                <w:sz w:val="17"/>
              </w:rPr>
              <w:t>Pendientes, ausencias próximas, excepciones, saldos anómalos y métricas básicas.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R-02 Tipos de licencia</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CRUD de tipos, bucket asociado, visibilidad y estado.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R-03 Editor de políticas</w:t>
            </w:r>
          </w:p>
        </w:tc>
        <w:tc>
          <w:tcPr>
            <w:tcW w:type="dxa" w:w="4700"/>
            <w:tcMar>
              <w:top w:w="90" w:type="dxa"/>
              <w:start w:w="90" w:type="dxa"/>
              <w:bottom w:w="90" w:type="dxa"/>
              <w:end w:w="90" w:type="dxa"/>
            </w:tcMar>
            <w:vAlign w:val="top"/>
          </w:tcPr>
          <w:p>
            <w:pPr>
              <w:spacing w:after="0"/>
            </w:pPr>
            <w:r>
              <w:rPr>
                <w:rFonts w:ascii="Carlito" w:hAnsi="Carlito"/>
                <w:color w:val="233440"/>
                <w:sz w:val="17"/>
              </w:rPr>
              <w:t>Versiones, vigencia, reglas configurables y overrides por unidad.</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R-04 Saldos y ajustes</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Búsqueda de persona, cuentas, ledger y creación de ajuste con motivo.</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R-05 Organización y alcances</w:t>
            </w:r>
          </w:p>
        </w:tc>
        <w:tc>
          <w:tcPr>
            <w:tcW w:type="dxa" w:w="4700"/>
            <w:tcMar>
              <w:top w:w="90" w:type="dxa"/>
              <w:start w:w="90" w:type="dxa"/>
              <w:bottom w:w="90" w:type="dxa"/>
              <w:end w:w="90" w:type="dxa"/>
            </w:tcMar>
            <w:vAlign w:val="top"/>
          </w:tcPr>
          <w:p>
            <w:pPr>
              <w:spacing w:after="0"/>
            </w:pPr>
            <w:r>
              <w:rPr>
                <w:rFonts w:ascii="Carlito" w:hAnsi="Carlito"/>
                <w:color w:val="233440"/>
                <w:sz w:val="17"/>
              </w:rPr>
              <w:t>Árbol de unidades, responsables, roles y alcance con/sin descendientes.</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R-06 Feriados/calendarios</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Administrar calendarios y asignaciones.</w:t>
            </w:r>
          </w:p>
        </w:tc>
      </w:tr>
      <w:tr>
        <w:trPr>
          <w:cantSplit/>
        </w:trPr>
        <w:tc>
          <w:tcPr>
            <w:tcW w:type="dxa" w:w="2100"/>
            <w:tcMar>
              <w:top w:w="90" w:type="dxa"/>
              <w:start w:w="90" w:type="dxa"/>
              <w:bottom w:w="90" w:type="dxa"/>
              <w:end w:w="90" w:type="dxa"/>
            </w:tcMar>
            <w:vAlign w:val="top"/>
          </w:tcPr>
          <w:p>
            <w:pPr>
              <w:spacing w:after="0"/>
            </w:pPr>
            <w:r>
              <w:rPr>
                <w:rFonts w:ascii="Carlito" w:hAnsi="Carlito"/>
                <w:color w:val="233440"/>
                <w:sz w:val="17"/>
              </w:rPr>
              <w:t>R-07 Auditoría</w:t>
            </w:r>
          </w:p>
        </w:tc>
        <w:tc>
          <w:tcPr>
            <w:tcW w:type="dxa" w:w="4700"/>
            <w:tcMar>
              <w:top w:w="90" w:type="dxa"/>
              <w:start w:w="90" w:type="dxa"/>
              <w:bottom w:w="90" w:type="dxa"/>
              <w:end w:w="90" w:type="dxa"/>
            </w:tcMar>
            <w:vAlign w:val="top"/>
          </w:tcPr>
          <w:p>
            <w:pPr>
              <w:spacing w:after="0"/>
            </w:pPr>
            <w:r>
              <w:rPr>
                <w:rFonts w:ascii="Carlito" w:hAnsi="Carlito"/>
                <w:color w:val="233440"/>
                <w:sz w:val="17"/>
              </w:rPr>
              <w:t>Filtros por actor, entidad, acción, período y exportación.</w:t>
            </w:r>
          </w:p>
        </w:tc>
      </w:tr>
      <w:tr>
        <w:trPr>
          <w:cantSplit/>
        </w:trPr>
        <w:tc>
          <w:tcPr>
            <w:tcW w:type="dxa" w:w="2100"/>
            <w:shd w:fill="FAFBFC"/>
            <w:tcMar>
              <w:top w:w="90" w:type="dxa"/>
              <w:start w:w="90" w:type="dxa"/>
              <w:bottom w:w="90" w:type="dxa"/>
              <w:end w:w="90" w:type="dxa"/>
            </w:tcMar>
            <w:vAlign w:val="top"/>
          </w:tcPr>
          <w:p>
            <w:pPr>
              <w:spacing w:after="0"/>
            </w:pPr>
            <w:r>
              <w:rPr>
                <w:rFonts w:ascii="Carlito" w:hAnsi="Carlito"/>
                <w:color w:val="233440"/>
                <w:sz w:val="17"/>
              </w:rPr>
              <w:t>R-08 Migración</w:t>
            </w:r>
          </w:p>
        </w:tc>
        <w:tc>
          <w:tcPr>
            <w:tcW w:type="dxa" w:w="4700"/>
            <w:shd w:fill="FAFBFC"/>
            <w:tcMar>
              <w:top w:w="90" w:type="dxa"/>
              <w:start w:w="90" w:type="dxa"/>
              <w:bottom w:w="90" w:type="dxa"/>
              <w:end w:w="90" w:type="dxa"/>
            </w:tcMar>
            <w:vAlign w:val="top"/>
          </w:tcPr>
          <w:p>
            <w:pPr>
              <w:spacing w:after="0"/>
            </w:pPr>
            <w:r>
              <w:rPr>
                <w:rFonts w:ascii="Carlito" w:hAnsi="Carlito"/>
                <w:color w:val="233440"/>
                <w:sz w:val="17"/>
              </w:rPr>
              <w:t>Estado de lotes, diferencias, errores y reconciliación de SharePoint.</w:t>
            </w:r>
          </w:p>
        </w:tc>
      </w:tr>
    </w:tbl>
    <w:p>
      <w:pPr>
        <w:spacing w:after="0"/>
      </w:pPr>
    </w:p>
    <w:p>
      <w:pPr>
        <w:pStyle w:val="Heading2"/>
      </w:pPr>
      <w:r>
        <w:t>14.4 Principios UX</w:t>
      </w:r>
    </w:p>
    <w:p>
      <w:pPr>
        <w:pStyle w:val="ListBullet"/>
        <w:spacing w:after="60"/>
      </w:pPr>
      <w:r>
        <w:rPr>
          <w:rFonts w:ascii="Carlito" w:hAnsi="Carlito"/>
          <w:color w:val="233440"/>
          <w:sz w:val="20"/>
        </w:rPr>
        <w:t>Las tarjetas de saldo diferencian claramente Disponible, Pendiente/Reservado y Consumido.</w:t>
      </w:r>
    </w:p>
    <w:p>
      <w:pPr>
        <w:pStyle w:val="ListBullet"/>
        <w:spacing w:after="60"/>
      </w:pPr>
      <w:r>
        <w:rPr>
          <w:rFonts w:ascii="Carlito" w:hAnsi="Carlito"/>
          <w:color w:val="233440"/>
          <w:sz w:val="20"/>
        </w:rPr>
        <w:t>Las acciones destructivas o administrativas (revocar, ajustar saldo) requieren confirmación y motivo.</w:t>
      </w:r>
    </w:p>
    <w:p>
      <w:pPr>
        <w:pStyle w:val="ListBullet"/>
        <w:spacing w:after="60"/>
      </w:pPr>
      <w:r>
        <w:rPr>
          <w:rFonts w:ascii="Carlito" w:hAnsi="Carlito"/>
          <w:color w:val="233440"/>
          <w:sz w:val="20"/>
        </w:rPr>
        <w:t>El usuario ve por qué una solicitud no es válida: feriado, saldo insuficiente, solapamiento, anticipación, cobertura, etc.</w:t>
      </w:r>
    </w:p>
    <w:p>
      <w:pPr>
        <w:pStyle w:val="ListBullet"/>
        <w:spacing w:after="60"/>
      </w:pPr>
      <w:r>
        <w:rPr>
          <w:rFonts w:ascii="Carlito" w:hAnsi="Carlito"/>
          <w:color w:val="233440"/>
          <w:sz w:val="20"/>
        </w:rPr>
        <w:t>La UI solo muestra información necesaria según rol; los comprobantes médicos nunca aparecen como miniaturas en listados generales.</w:t>
      </w:r>
    </w:p>
    <w:p>
      <w:pPr>
        <w:pStyle w:val="ListBullet"/>
        <w:spacing w:after="60"/>
      </w:pPr>
      <w:r>
        <w:rPr>
          <w:rFonts w:ascii="Carlito" w:hAnsi="Carlito"/>
          <w:color w:val="233440"/>
          <w:sz w:val="20"/>
        </w:rPr>
        <w:t>En móvil se priorizan tarjetas, filtros compactos y acciones inferiores; las tablas se convierten a listas responsive.</w:t>
      </w:r>
    </w:p>
    <w:p>
      <w:pPr>
        <w:pStyle w:val="Heading1"/>
      </w:pPr>
      <w:r>
        <w:t>15. Alcance del MVP y roadmap</w:t>
      </w:r>
    </w:p>
    <w:p>
      <w:pPr>
        <w:pStyle w:val="Heading2"/>
      </w:pPr>
      <w:r>
        <w:t>15.1 MVP - imprescindible</w:t>
      </w:r>
    </w:p>
    <w:p>
      <w:pPr>
        <w:pStyle w:val="ListBullet"/>
        <w:spacing w:after="60"/>
      </w:pPr>
      <w:r>
        <w:rPr>
          <w:rFonts w:ascii="Carlito" w:hAnsi="Carlito"/>
          <w:color w:val="233440"/>
          <w:sz w:val="20"/>
        </w:rPr>
        <w:t>SSO Entra ID y aprovisionamiento de usuario.</w:t>
      </w:r>
    </w:p>
    <w:p>
      <w:pPr>
        <w:pStyle w:val="ListBullet"/>
        <w:spacing w:after="60"/>
      </w:pPr>
      <w:r>
        <w:rPr>
          <w:rFonts w:ascii="Carlito" w:hAnsi="Carlito"/>
          <w:color w:val="233440"/>
          <w:sz w:val="20"/>
        </w:rPr>
        <w:t>Árbol organizacional, roles y alcances.</w:t>
      </w:r>
    </w:p>
    <w:p>
      <w:pPr>
        <w:pStyle w:val="ListBullet"/>
        <w:spacing w:after="60"/>
      </w:pPr>
      <w:r>
        <w:rPr>
          <w:rFonts w:ascii="Carlito" w:hAnsi="Carlito"/>
          <w:color w:val="233440"/>
          <w:sz w:val="20"/>
        </w:rPr>
        <w:t>Tipos de licencia y políticas versionadas con reglas principales.</w:t>
      </w:r>
    </w:p>
    <w:p>
      <w:pPr>
        <w:pStyle w:val="ListBullet"/>
        <w:spacing w:after="60"/>
      </w:pPr>
      <w:r>
        <w:rPr>
          <w:rFonts w:ascii="Carlito" w:hAnsi="Carlito"/>
          <w:color w:val="233440"/>
          <w:sz w:val="20"/>
        </w:rPr>
        <w:t>Buckets, cuentas y ledger de saldos.</w:t>
      </w:r>
    </w:p>
    <w:p>
      <w:pPr>
        <w:pStyle w:val="ListBullet"/>
        <w:spacing w:after="60"/>
      </w:pPr>
      <w:r>
        <w:rPr>
          <w:rFonts w:ascii="Carlito" w:hAnsi="Carlito"/>
          <w:color w:val="233440"/>
          <w:sz w:val="20"/>
        </w:rPr>
        <w:t>Solicitud, borrador, envío, aprobación, rechazo, cancelación y revocación.</w:t>
      </w:r>
    </w:p>
    <w:p>
      <w:pPr>
        <w:pStyle w:val="ListBullet"/>
        <w:spacing w:after="60"/>
      </w:pPr>
      <w:r>
        <w:rPr>
          <w:rFonts w:ascii="Carlito" w:hAnsi="Carlito"/>
          <w:color w:val="233440"/>
          <w:sz w:val="20"/>
        </w:rPr>
        <w:t>Medios días, días hábiles/corridos, feriados y solapamientos configurables.</w:t>
      </w:r>
    </w:p>
    <w:p>
      <w:pPr>
        <w:pStyle w:val="ListBullet"/>
        <w:spacing w:after="60"/>
      </w:pPr>
      <w:r>
        <w:rPr>
          <w:rFonts w:ascii="Carlito" w:hAnsi="Carlito"/>
          <w:color w:val="233440"/>
          <w:sz w:val="20"/>
        </w:rPr>
        <w:t>Adjuntos privados y flujo de comprobante médico.</w:t>
      </w:r>
    </w:p>
    <w:p>
      <w:pPr>
        <w:pStyle w:val="ListBullet"/>
        <w:spacing w:after="60"/>
      </w:pPr>
      <w:r>
        <w:rPr>
          <w:rFonts w:ascii="Carlito" w:hAnsi="Carlito"/>
          <w:color w:val="233440"/>
          <w:sz w:val="20"/>
        </w:rPr>
        <w:t>Bandeja de aprobaciones y vistas de equipo.</w:t>
      </w:r>
    </w:p>
    <w:p>
      <w:pPr>
        <w:pStyle w:val="ListBullet"/>
        <w:spacing w:after="60"/>
      </w:pPr>
      <w:r>
        <w:rPr>
          <w:rFonts w:ascii="Carlito" w:hAnsi="Carlito"/>
          <w:color w:val="233440"/>
          <w:sz w:val="20"/>
        </w:rPr>
        <w:t>Calendario básico de equipo.</w:t>
      </w:r>
    </w:p>
    <w:p>
      <w:pPr>
        <w:pStyle w:val="ListBullet"/>
        <w:spacing w:after="60"/>
      </w:pPr>
      <w:r>
        <w:rPr>
          <w:rFonts w:ascii="Carlito" w:hAnsi="Carlito"/>
          <w:color w:val="233440"/>
          <w:sz w:val="20"/>
        </w:rPr>
        <w:t>Notificaciones mínimas por correo o mecanismo corporativo acordado.</w:t>
      </w:r>
    </w:p>
    <w:p>
      <w:pPr>
        <w:pStyle w:val="ListBullet"/>
        <w:spacing w:after="60"/>
      </w:pPr>
      <w:r>
        <w:rPr>
          <w:rFonts w:ascii="Carlito" w:hAnsi="Carlito"/>
          <w:color w:val="233440"/>
          <w:sz w:val="20"/>
        </w:rPr>
        <w:t>Auditoría funcional.</w:t>
      </w:r>
    </w:p>
    <w:p>
      <w:pPr>
        <w:pStyle w:val="ListBullet"/>
        <w:spacing w:after="60"/>
      </w:pPr>
      <w:r>
        <w:rPr>
          <w:rFonts w:ascii="Carlito" w:hAnsi="Carlito"/>
          <w:color w:val="233440"/>
          <w:sz w:val="20"/>
        </w:rPr>
        <w:t>Migración inicial desde SharePoint y reconciliación.</w:t>
      </w:r>
    </w:p>
    <w:p>
      <w:pPr>
        <w:pStyle w:val="Heading2"/>
      </w:pPr>
      <w:r>
        <w:t>15.2 Fase 2 sugerida</w:t>
      </w:r>
    </w:p>
    <w:p>
      <w:pPr>
        <w:pStyle w:val="ListBullet"/>
        <w:spacing w:after="60"/>
      </w:pPr>
      <w:r>
        <w:rPr>
          <w:rFonts w:ascii="Carlito" w:hAnsi="Carlito"/>
          <w:color w:val="233440"/>
          <w:sz w:val="20"/>
        </w:rPr>
        <w:t>Integración más profunda con Teams/Outlook.</w:t>
      </w:r>
    </w:p>
    <w:p>
      <w:pPr>
        <w:pStyle w:val="ListBullet"/>
        <w:spacing w:after="60"/>
      </w:pPr>
      <w:r>
        <w:rPr>
          <w:rFonts w:ascii="Carlito" w:hAnsi="Carlito"/>
          <w:color w:val="233440"/>
          <w:sz w:val="20"/>
        </w:rPr>
        <w:t>Publicación automática de ausencias aprobadas en calendarios.</w:t>
      </w:r>
    </w:p>
    <w:p>
      <w:pPr>
        <w:pStyle w:val="ListBullet"/>
        <w:spacing w:after="60"/>
      </w:pPr>
      <w:r>
        <w:rPr>
          <w:rFonts w:ascii="Carlito" w:hAnsi="Carlito"/>
          <w:color w:val="233440"/>
          <w:sz w:val="20"/>
        </w:rPr>
        <w:t>Reglas avanzadas de staffing, blackout dates y autoaprobación.</w:t>
      </w:r>
    </w:p>
    <w:p>
      <w:pPr>
        <w:pStyle w:val="ListBullet"/>
        <w:spacing w:after="60"/>
      </w:pPr>
      <w:r>
        <w:rPr>
          <w:rFonts w:ascii="Carlito" w:hAnsi="Carlito"/>
          <w:color w:val="233440"/>
          <w:sz w:val="20"/>
        </w:rPr>
        <w:t>Cancelación parcial/modificación de solicitudes aprobadas.</w:t>
      </w:r>
    </w:p>
    <w:p>
      <w:pPr>
        <w:pStyle w:val="ListBullet"/>
        <w:spacing w:after="60"/>
      </w:pPr>
      <w:r>
        <w:rPr>
          <w:rFonts w:ascii="Carlito" w:hAnsi="Carlito"/>
          <w:color w:val="233440"/>
          <w:sz w:val="20"/>
        </w:rPr>
        <w:t>Delegación temporal de aprobadores.</w:t>
      </w:r>
    </w:p>
    <w:p>
      <w:pPr>
        <w:pStyle w:val="ListBullet"/>
        <w:spacing w:after="60"/>
      </w:pPr>
      <w:r>
        <w:rPr>
          <w:rFonts w:ascii="Carlito" w:hAnsi="Carlito"/>
          <w:color w:val="233440"/>
          <w:sz w:val="20"/>
        </w:rPr>
        <w:t>Dashboards BI y exportaciones avanzadas.</w:t>
      </w:r>
    </w:p>
    <w:p>
      <w:pPr>
        <w:pStyle w:val="ListBullet"/>
        <w:spacing w:after="60"/>
      </w:pPr>
      <w:r>
        <w:rPr>
          <w:rFonts w:ascii="Carlito" w:hAnsi="Carlito"/>
          <w:color w:val="233440"/>
          <w:sz w:val="20"/>
        </w:rPr>
        <w:t>Integración con nómina/ERP/HRIS.</w:t>
      </w:r>
    </w:p>
    <w:p>
      <w:pPr>
        <w:pStyle w:val="ListBullet"/>
        <w:spacing w:after="60"/>
      </w:pPr>
      <w:r>
        <w:rPr>
          <w:rFonts w:ascii="Carlito" w:hAnsi="Carlito"/>
          <w:color w:val="233440"/>
          <w:sz w:val="20"/>
        </w:rPr>
        <w:t>Multi-sede/multi-país con políticas diferenciadas.</w:t>
      </w:r>
    </w:p>
    <w:p>
      <w:pPr>
        <w:pStyle w:val="ListBullet"/>
        <w:spacing w:after="60"/>
      </w:pPr>
      <w:r>
        <w:rPr>
          <w:rFonts w:ascii="Carlito" w:hAnsi="Carlito"/>
          <w:color w:val="233440"/>
          <w:sz w:val="20"/>
        </w:rPr>
        <w:t>Autoservicio de reportes y APIs externas.</w:t>
      </w:r>
    </w:p>
    <w:p>
      <w:pPr>
        <w:pStyle w:val="Heading2"/>
      </w:pPr>
      <w:r>
        <w:t>15.3 Criterio de “MVP completo”</w:t>
      </w:r>
    </w:p>
    <w:p>
      <w:pPr>
        <w:spacing w:after="120" w:line="259" w:lineRule="auto"/>
      </w:pPr>
      <w:r>
        <w:rPr>
          <w:rFonts w:ascii="Carlito" w:hAnsi="Carlito"/>
          <w:color w:val="233440"/>
          <w:sz w:val="20"/>
        </w:rPr>
        <w:t>El MVP no debe considerarse terminado solo porque permita enviar y aprobar vacaciones. Debe cerrar el ciclo completo de identidad → política → solicitud → aprobación → saldo → cancelación/revocación → auditoría → migración, con permisos efectivos por alcance y experiencia usable desde móvil.</w:t>
      </w:r>
    </w:p>
    <w:p>
      <w:pPr>
        <w:pStyle w:val="Heading1"/>
      </w:pPr>
      <w:r>
        <w:t>16. API y procesos internos</w:t>
      </w:r>
    </w:p>
    <w:p>
      <w:pPr>
        <w:pStyle w:val="Heading2"/>
      </w:pPr>
      <w:r>
        <w:t>16.1 Endpoints orientativos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600"/>
            <w:shd w:fill="294C60"/>
            <w:tcMar>
              <w:top w:w="90" w:type="dxa"/>
              <w:start w:w="90" w:type="dxa"/>
              <w:bottom w:w="90" w:type="dxa"/>
              <w:end w:w="90" w:type="dxa"/>
            </w:tcMar>
            <w:vAlign w:val="center"/>
          </w:tcPr>
          <w:p>
            <w:pPr>
              <w:jc w:val="left"/>
            </w:pPr>
            <w:r>
              <w:rPr>
                <w:rFonts w:ascii="Carlito" w:hAnsi="Carlito"/>
                <w:b/>
                <w:color w:val="FFFFFF"/>
                <w:sz w:val="17"/>
              </w:rPr>
              <w:t>Grupo</w:t>
            </w:r>
          </w:p>
        </w:tc>
        <w:tc>
          <w:tcPr>
            <w:tcW w:type="dxa" w:w="5200"/>
            <w:shd w:fill="294C60"/>
            <w:tcMar>
              <w:top w:w="90" w:type="dxa"/>
              <w:start w:w="90" w:type="dxa"/>
              <w:bottom w:w="90" w:type="dxa"/>
              <w:end w:w="90" w:type="dxa"/>
            </w:tcMar>
            <w:vAlign w:val="center"/>
          </w:tcPr>
          <w:p>
            <w:pPr>
              <w:jc w:val="left"/>
            </w:pPr>
            <w:r>
              <w:rPr>
                <w:rFonts w:ascii="Carlito" w:hAnsi="Carlito"/>
                <w:b/>
                <w:color w:val="FFFFFF"/>
                <w:sz w:val="17"/>
              </w:rPr>
              <w:t>Ejemplos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Identidad</w:t>
            </w:r>
          </w:p>
        </w:tc>
        <w:tc>
          <w:tcPr>
            <w:tcW w:type="dxa" w:w="5200"/>
            <w:tcMar>
              <w:top w:w="90" w:type="dxa"/>
              <w:start w:w="90" w:type="dxa"/>
              <w:bottom w:w="90" w:type="dxa"/>
              <w:end w:w="90" w:type="dxa"/>
            </w:tcMar>
            <w:vAlign w:val="top"/>
          </w:tcPr>
          <w:p>
            <w:pPr>
              <w:spacing w:after="0"/>
            </w:pPr>
            <w:r>
              <w:rPr>
                <w:rFonts w:ascii="Carlito" w:hAnsi="Carlito"/>
                <w:color w:val="233440"/>
                <w:sz w:val="17"/>
              </w:rPr>
              <w:t>GET /me, GET /me/permissions</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Saldos</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GET /me/balances, GET /users/{id}/balances, GET /balance-accounts/{id}/transactions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Solicitudes</w:t>
            </w:r>
          </w:p>
        </w:tc>
        <w:tc>
          <w:tcPr>
            <w:tcW w:type="dxa" w:w="5200"/>
            <w:tcMar>
              <w:top w:w="90" w:type="dxa"/>
              <w:start w:w="90" w:type="dxa"/>
              <w:bottom w:w="90" w:type="dxa"/>
              <w:end w:w="90" w:type="dxa"/>
            </w:tcMar>
            <w:vAlign w:val="top"/>
          </w:tcPr>
          <w:p>
            <w:pPr>
              <w:spacing w:after="0"/>
            </w:pPr>
            <w:r>
              <w:rPr>
                <w:rFonts w:ascii="Carlito" w:hAnsi="Carlito"/>
                <w:color w:val="233440"/>
                <w:sz w:val="17"/>
              </w:rPr>
              <w:t>POST /leave-requests, POST /leave-requests/{id}/submit, GET /leave-requests/{id}</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Decisiones</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POST /leave-requests/{id}/approve, /reject, /request-cancellation, /resolve-cancellation, /revoke</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Equipo</w:t>
            </w:r>
          </w:p>
        </w:tc>
        <w:tc>
          <w:tcPr>
            <w:tcW w:type="dxa" w:w="5200"/>
            <w:tcMar>
              <w:top w:w="90" w:type="dxa"/>
              <w:start w:w="90" w:type="dxa"/>
              <w:bottom w:w="90" w:type="dxa"/>
              <w:end w:w="90" w:type="dxa"/>
            </w:tcMar>
            <w:vAlign w:val="top"/>
          </w:tcPr>
          <w:p>
            <w:pPr>
              <w:spacing w:after="0"/>
            </w:pPr>
            <w:r>
              <w:rPr>
                <w:rFonts w:ascii="Carlito" w:hAnsi="Carlito"/>
                <w:color w:val="233440"/>
                <w:sz w:val="17"/>
              </w:rPr>
              <w:t>GET /org-units/{id}/members, GET /team-calendar</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Políticas</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GET/POST /leave-types, GET/POST /policies, POST /policies/{id}/publish</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Documentos</w:t>
            </w:r>
          </w:p>
        </w:tc>
        <w:tc>
          <w:tcPr>
            <w:tcW w:type="dxa" w:w="5200"/>
            <w:tcMar>
              <w:top w:w="90" w:type="dxa"/>
              <w:start w:w="90" w:type="dxa"/>
              <w:bottom w:w="90" w:type="dxa"/>
              <w:end w:w="90" w:type="dxa"/>
            </w:tcMar>
            <w:vAlign w:val="top"/>
          </w:tcPr>
          <w:p>
            <w:pPr>
              <w:spacing w:after="0"/>
            </w:pPr>
            <w:r>
              <w:rPr>
                <w:rFonts w:ascii="Carlito" w:hAnsi="Carlito"/>
                <w:color w:val="233440"/>
                <w:sz w:val="17"/>
              </w:rPr>
              <w:t>POST /leave-requests/{id}/attachments, GET /attachments/{id}/content</w:t>
            </w:r>
          </w:p>
        </w:tc>
      </w:tr>
      <w:tr>
        <w:trPr>
          <w:cantSplit/>
        </w:trPr>
        <w:tc>
          <w:tcPr>
            <w:tcW w:type="dxa" w:w="1600"/>
            <w:shd w:fill="FAFBFC"/>
            <w:tcMar>
              <w:top w:w="90" w:type="dxa"/>
              <w:start w:w="90" w:type="dxa"/>
              <w:bottom w:w="90" w:type="dxa"/>
              <w:end w:w="90" w:type="dxa"/>
            </w:tcMar>
            <w:vAlign w:val="top"/>
          </w:tcPr>
          <w:p>
            <w:pPr>
              <w:spacing w:after="0"/>
            </w:pPr>
            <w:r>
              <w:rPr>
                <w:rFonts w:ascii="Carlito" w:hAnsi="Carlito"/>
                <w:color w:val="233440"/>
                <w:sz w:val="17"/>
              </w:rPr>
              <w:t>Auditoría</w:t>
            </w:r>
          </w:p>
        </w:tc>
        <w:tc>
          <w:tcPr>
            <w:tcW w:type="dxa" w:w="5200"/>
            <w:shd w:fill="FAFBFC"/>
            <w:tcMar>
              <w:top w:w="90" w:type="dxa"/>
              <w:start w:w="90" w:type="dxa"/>
              <w:bottom w:w="90" w:type="dxa"/>
              <w:end w:w="90" w:type="dxa"/>
            </w:tcMar>
            <w:vAlign w:val="top"/>
          </w:tcPr>
          <w:p>
            <w:pPr>
              <w:spacing w:after="0"/>
            </w:pPr>
            <w:r>
              <w:rPr>
                <w:rFonts w:ascii="Carlito" w:hAnsi="Carlito"/>
                <w:color w:val="233440"/>
                <w:sz w:val="17"/>
              </w:rPr>
              <w:t>GET /audit-events</w:t>
            </w:r>
          </w:p>
        </w:tc>
      </w:tr>
      <w:tr>
        <w:trPr>
          <w:cantSplit/>
        </w:trPr>
        <w:tc>
          <w:tcPr>
            <w:tcW w:type="dxa" w:w="1600"/>
            <w:tcMar>
              <w:top w:w="90" w:type="dxa"/>
              <w:start w:w="90" w:type="dxa"/>
              <w:bottom w:w="90" w:type="dxa"/>
              <w:end w:w="90" w:type="dxa"/>
            </w:tcMar>
            <w:vAlign w:val="top"/>
          </w:tcPr>
          <w:p>
            <w:pPr>
              <w:spacing w:after="0"/>
            </w:pPr>
            <w:r>
              <w:rPr>
                <w:rFonts w:ascii="Carlito" w:hAnsi="Carlito"/>
                <w:color w:val="233440"/>
                <w:sz w:val="17"/>
              </w:rPr>
              <w:t>Migración</w:t>
            </w:r>
          </w:p>
        </w:tc>
        <w:tc>
          <w:tcPr>
            <w:tcW w:type="dxa" w:w="5200"/>
            <w:tcMar>
              <w:top w:w="90" w:type="dxa"/>
              <w:start w:w="90" w:type="dxa"/>
              <w:bottom w:w="90" w:type="dxa"/>
              <w:end w:w="90" w:type="dxa"/>
            </w:tcMar>
            <w:vAlign w:val="top"/>
          </w:tcPr>
          <w:p>
            <w:pPr>
              <w:spacing w:after="0"/>
            </w:pPr>
            <w:r>
              <w:rPr>
                <w:rFonts w:ascii="Carlito" w:hAnsi="Carlito"/>
                <w:color w:val="233440"/>
                <w:sz w:val="17"/>
              </w:rPr>
              <w:t>POST /migration/sharepoint/jobs, GET /migration/jobs/{id}</w:t>
            </w:r>
          </w:p>
        </w:tc>
      </w:tr>
    </w:tbl>
    <w:p>
      <w:pPr>
        <w:spacing w:after="0"/>
      </w:pPr>
    </w:p>
    <w:p>
      <w:pPr>
        <w:pStyle w:val="Heading2"/>
      </w:pPr>
      <w:r>
        <w:t>16.2 Idempotencia</w:t>
      </w:r>
    </w:p>
    <w:p>
      <w:pPr>
        <w:spacing w:after="120" w:line="259" w:lineRule="auto"/>
      </w:pPr>
      <w:r>
        <w:rPr>
          <w:rFonts w:ascii="Carlito" w:hAnsi="Carlito"/>
          <w:color w:val="233440"/>
          <w:sz w:val="20"/>
        </w:rPr>
        <w:t>Las acciones críticas (enviar, aprobar, ajustar saldo, importar) deben soportar idempotency keys o identificadores de comando para evitar duplicados por reintentos de navegador, redes móviles inestables o workers.</w:t>
      </w:r>
    </w:p>
    <w:p>
      <w:pPr>
        <w:pStyle w:val="Heading2"/>
      </w:pPr>
      <w:r>
        <w:t>16.3 Eventos de dominio / Outbox</w:t>
      </w:r>
    </w:p>
    <w:p>
      <w:pPr>
        <w:pStyle w:val="ListBullet"/>
        <w:spacing w:after="60"/>
      </w:pPr>
      <w:r>
        <w:rPr>
          <w:rFonts w:ascii="Carlito" w:hAnsi="Carlito"/>
          <w:color w:val="233440"/>
          <w:sz w:val="20"/>
        </w:rPr>
        <w:t>LeaveRequestSubmitted</w:t>
      </w:r>
    </w:p>
    <w:p>
      <w:pPr>
        <w:pStyle w:val="ListBullet"/>
        <w:spacing w:after="60"/>
      </w:pPr>
      <w:r>
        <w:rPr>
          <w:rFonts w:ascii="Carlito" w:hAnsi="Carlito"/>
          <w:color w:val="233440"/>
          <w:sz w:val="20"/>
        </w:rPr>
        <w:t>LeaveRequestApproved</w:t>
      </w:r>
    </w:p>
    <w:p>
      <w:pPr>
        <w:pStyle w:val="ListBullet"/>
        <w:spacing w:after="60"/>
      </w:pPr>
      <w:r>
        <w:rPr>
          <w:rFonts w:ascii="Carlito" w:hAnsi="Carlito"/>
          <w:color w:val="233440"/>
          <w:sz w:val="20"/>
        </w:rPr>
        <w:t>LeaveRequestRejected</w:t>
      </w:r>
    </w:p>
    <w:p>
      <w:pPr>
        <w:pStyle w:val="ListBullet"/>
        <w:spacing w:after="60"/>
      </w:pPr>
      <w:r>
        <w:rPr>
          <w:rFonts w:ascii="Carlito" w:hAnsi="Carlito"/>
          <w:color w:val="233440"/>
          <w:sz w:val="20"/>
        </w:rPr>
        <w:t>CancellationRequested</w:t>
      </w:r>
    </w:p>
    <w:p>
      <w:pPr>
        <w:pStyle w:val="ListBullet"/>
        <w:spacing w:after="60"/>
      </w:pPr>
      <w:r>
        <w:rPr>
          <w:rFonts w:ascii="Carlito" w:hAnsi="Carlito"/>
          <w:color w:val="233440"/>
          <w:sz w:val="20"/>
        </w:rPr>
        <w:t>LeaveRequestCancelled</w:t>
      </w:r>
    </w:p>
    <w:p>
      <w:pPr>
        <w:pStyle w:val="ListBullet"/>
        <w:spacing w:after="60"/>
      </w:pPr>
      <w:r>
        <w:rPr>
          <w:rFonts w:ascii="Carlito" w:hAnsi="Carlito"/>
          <w:color w:val="233440"/>
          <w:sz w:val="20"/>
        </w:rPr>
        <w:t>LeaveRequestRevoked</w:t>
      </w:r>
    </w:p>
    <w:p>
      <w:pPr>
        <w:pStyle w:val="ListBullet"/>
        <w:spacing w:after="60"/>
      </w:pPr>
      <w:r>
        <w:rPr>
          <w:rFonts w:ascii="Carlito" w:hAnsi="Carlito"/>
          <w:color w:val="233440"/>
          <w:sz w:val="20"/>
        </w:rPr>
        <w:t>BalanceAdjusted</w:t>
      </w:r>
    </w:p>
    <w:p>
      <w:pPr>
        <w:pStyle w:val="ListBullet"/>
        <w:spacing w:after="60"/>
      </w:pPr>
      <w:r>
        <w:rPr>
          <w:rFonts w:ascii="Carlito" w:hAnsi="Carlito"/>
          <w:color w:val="233440"/>
          <w:sz w:val="20"/>
        </w:rPr>
        <w:t>PolicyPublished</w:t>
      </w:r>
    </w:p>
    <w:p>
      <w:pPr>
        <w:spacing w:after="120" w:line="259" w:lineRule="auto"/>
      </w:pPr>
      <w:r>
        <w:rPr>
          <w:rFonts w:ascii="Carlito" w:hAnsi="Carlito"/>
          <w:color w:val="233440"/>
          <w:sz w:val="20"/>
        </w:rPr>
        <w:t>Los eventos se guardan en la misma transacción que el cambio de negocio y un worker los procesa después. Esto evita que un fallo de correo/Teams haga fallar una aprobación válida.</w:t>
      </w:r>
    </w:p>
    <w:p>
      <w:pPr>
        <w:pStyle w:val="Heading1"/>
      </w:pPr>
      <w:r>
        <w:t>17. Pruebas, despliegue y operación</w:t>
      </w:r>
    </w:p>
    <w:p>
      <w:pPr>
        <w:pStyle w:val="Heading2"/>
      </w:pPr>
      <w:r>
        <w:t>17.1 Estrategia de pruebas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500"/>
            <w:shd w:fill="294C60"/>
            <w:tcMar>
              <w:top w:w="90" w:type="dxa"/>
              <w:start w:w="90" w:type="dxa"/>
              <w:bottom w:w="90" w:type="dxa"/>
              <w:end w:w="90" w:type="dxa"/>
            </w:tcMar>
            <w:vAlign w:val="center"/>
          </w:tcPr>
          <w:p>
            <w:pPr>
              <w:jc w:val="left"/>
            </w:pPr>
            <w:r>
              <w:rPr>
                <w:rFonts w:ascii="Carlito" w:hAnsi="Carlito"/>
                <w:b/>
                <w:color w:val="FFFFFF"/>
                <w:sz w:val="16"/>
              </w:rPr>
              <w:t>Tipo</w:t>
            </w:r>
          </w:p>
        </w:tc>
        <w:tc>
          <w:tcPr>
            <w:tcW w:type="dxa" w:w="5300"/>
            <w:shd w:fill="294C60"/>
            <w:tcMar>
              <w:top w:w="90" w:type="dxa"/>
              <w:start w:w="90" w:type="dxa"/>
              <w:bottom w:w="90" w:type="dxa"/>
              <w:end w:w="90" w:type="dxa"/>
            </w:tcMar>
            <w:vAlign w:val="center"/>
          </w:tcPr>
          <w:p>
            <w:pPr>
              <w:jc w:val="left"/>
            </w:pPr>
            <w:r>
              <w:rPr>
                <w:rFonts w:ascii="Carlito" w:hAnsi="Carlito"/>
                <w:b/>
                <w:color w:val="FFFFFF"/>
                <w:sz w:val="16"/>
              </w:rPr>
              <w:t>Cobertura prioritaria</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6"/>
              </w:rPr>
              <w:t>Unitarias</w:t>
            </w:r>
          </w:p>
        </w:tc>
        <w:tc>
          <w:tcPr>
            <w:tcW w:type="dxa" w:w="5300"/>
            <w:tcMar>
              <w:top w:w="90" w:type="dxa"/>
              <w:start w:w="90" w:type="dxa"/>
              <w:bottom w:w="90" w:type="dxa"/>
              <w:end w:w="90" w:type="dxa"/>
            </w:tcMar>
            <w:vAlign w:val="top"/>
          </w:tcPr>
          <w:p>
            <w:pPr>
              <w:spacing w:after="0"/>
            </w:pPr>
            <w:r>
              <w:rPr>
                <w:rFonts w:ascii="Carlito" w:hAnsi="Carlito"/>
                <w:color w:val="233440"/>
                <w:sz w:val="16"/>
              </w:rPr>
              <w:t>Cálculo de días, feriados, medios días, saldo, precedencia de políticas, transición de estados.</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6"/>
              </w:rPr>
              <w:t>Integración</w:t>
            </w:r>
          </w:p>
        </w:tc>
        <w:tc>
          <w:tcPr>
            <w:tcW w:type="dxa" w:w="5300"/>
            <w:shd w:fill="FAFBFC"/>
            <w:tcMar>
              <w:top w:w="90" w:type="dxa"/>
              <w:start w:w="90" w:type="dxa"/>
              <w:bottom w:w="90" w:type="dxa"/>
              <w:end w:w="90" w:type="dxa"/>
            </w:tcMar>
            <w:vAlign w:val="top"/>
          </w:tcPr>
          <w:p>
            <w:pPr>
              <w:spacing w:after="0"/>
            </w:pPr>
            <w:r>
              <w:rPr>
                <w:rFonts w:ascii="Carlito" w:hAnsi="Carlito"/>
                <w:color w:val="233440"/>
                <w:sz w:val="16"/>
              </w:rPr>
              <w:t>PostgreSQL real en contenedor, concurrencia de saldos, outbox, storage, Graph mock/test.</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6"/>
              </w:rPr>
              <w:t>Autorización</w:t>
            </w:r>
          </w:p>
        </w:tc>
        <w:tc>
          <w:tcPr>
            <w:tcW w:type="dxa" w:w="5300"/>
            <w:tcMar>
              <w:top w:w="90" w:type="dxa"/>
              <w:start w:w="90" w:type="dxa"/>
              <w:bottom w:w="90" w:type="dxa"/>
              <w:end w:w="90" w:type="dxa"/>
            </w:tcMar>
            <w:vAlign w:val="top"/>
          </w:tcPr>
          <w:p>
            <w:pPr>
              <w:spacing w:after="0"/>
            </w:pPr>
            <w:r>
              <w:rPr>
                <w:rFonts w:ascii="Carlito" w:hAnsi="Carlito"/>
                <w:color w:val="233440"/>
                <w:sz w:val="16"/>
              </w:rPr>
              <w:t>Matriz de rol+scope, intento de acceso fuera de alcance, documentos médicos.</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6"/>
              </w:rPr>
              <w:t>E2E</w:t>
            </w:r>
          </w:p>
        </w:tc>
        <w:tc>
          <w:tcPr>
            <w:tcW w:type="dxa" w:w="5300"/>
            <w:shd w:fill="FAFBFC"/>
            <w:tcMar>
              <w:top w:w="90" w:type="dxa"/>
              <w:start w:w="90" w:type="dxa"/>
              <w:bottom w:w="90" w:type="dxa"/>
              <w:end w:w="90" w:type="dxa"/>
            </w:tcMar>
            <w:vAlign w:val="top"/>
          </w:tcPr>
          <w:p>
            <w:pPr>
              <w:spacing w:after="0"/>
            </w:pPr>
            <w:r>
              <w:rPr>
                <w:rFonts w:ascii="Carlito" w:hAnsi="Carlito"/>
                <w:color w:val="233440"/>
                <w:sz w:val="16"/>
              </w:rPr>
              <w:t>Solicitar→aprobar; rechazar; cancelar; revocar; alta manual; ajuste; móvil.</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6"/>
              </w:rPr>
              <w:t>Migración</w:t>
            </w:r>
          </w:p>
        </w:tc>
        <w:tc>
          <w:tcPr>
            <w:tcW w:type="dxa" w:w="5300"/>
            <w:tcMar>
              <w:top w:w="90" w:type="dxa"/>
              <w:start w:w="90" w:type="dxa"/>
              <w:bottom w:w="90" w:type="dxa"/>
              <w:end w:w="90" w:type="dxa"/>
            </w:tcMar>
            <w:vAlign w:val="top"/>
          </w:tcPr>
          <w:p>
            <w:pPr>
              <w:spacing w:after="0"/>
            </w:pPr>
            <w:r>
              <w:rPr>
                <w:rFonts w:ascii="Carlito" w:hAnsi="Carlito"/>
                <w:color w:val="233440"/>
                <w:sz w:val="16"/>
              </w:rPr>
              <w:t>Repetibilidad, idempotencia, reconciliación, adjuntos, caracteres/fechas problemáticas.</w:t>
            </w:r>
          </w:p>
        </w:tc>
      </w:tr>
      <w:tr>
        <w:trPr>
          <w:cantSplit/>
        </w:trPr>
        <w:tc>
          <w:tcPr>
            <w:tcW w:type="dxa" w:w="1500"/>
            <w:shd w:fill="FAFBFC"/>
            <w:tcMar>
              <w:top w:w="90" w:type="dxa"/>
              <w:start w:w="90" w:type="dxa"/>
              <w:bottom w:w="90" w:type="dxa"/>
              <w:end w:w="90" w:type="dxa"/>
            </w:tcMar>
            <w:vAlign w:val="top"/>
          </w:tcPr>
          <w:p>
            <w:pPr>
              <w:spacing w:after="0"/>
            </w:pPr>
            <w:r>
              <w:rPr>
                <w:rFonts w:ascii="Carlito" w:hAnsi="Carlito"/>
                <w:color w:val="233440"/>
                <w:sz w:val="16"/>
              </w:rPr>
              <w:t>Seguridad</w:t>
            </w:r>
          </w:p>
        </w:tc>
        <w:tc>
          <w:tcPr>
            <w:tcW w:type="dxa" w:w="5300"/>
            <w:shd w:fill="FAFBFC"/>
            <w:tcMar>
              <w:top w:w="90" w:type="dxa"/>
              <w:start w:w="90" w:type="dxa"/>
              <w:bottom w:w="90" w:type="dxa"/>
              <w:end w:w="90" w:type="dxa"/>
            </w:tcMar>
            <w:vAlign w:val="top"/>
          </w:tcPr>
          <w:p>
            <w:pPr>
              <w:spacing w:after="0"/>
            </w:pPr>
            <w:r>
              <w:rPr>
                <w:rFonts w:ascii="Carlito" w:hAnsi="Carlito"/>
                <w:color w:val="233440"/>
                <w:sz w:val="16"/>
              </w:rPr>
              <w:t>SAST, dependencias, secretos, OWASP, subida de archivos y pruebas de autorización.</w:t>
            </w:r>
          </w:p>
        </w:tc>
      </w:tr>
      <w:tr>
        <w:trPr>
          <w:cantSplit/>
        </w:trPr>
        <w:tc>
          <w:tcPr>
            <w:tcW w:type="dxa" w:w="1500"/>
            <w:tcMar>
              <w:top w:w="90" w:type="dxa"/>
              <w:start w:w="90" w:type="dxa"/>
              <w:bottom w:w="90" w:type="dxa"/>
              <w:end w:w="90" w:type="dxa"/>
            </w:tcMar>
            <w:vAlign w:val="top"/>
          </w:tcPr>
          <w:p>
            <w:pPr>
              <w:spacing w:after="0"/>
            </w:pPr>
            <w:r>
              <w:rPr>
                <w:rFonts w:ascii="Carlito" w:hAnsi="Carlito"/>
                <w:color w:val="233440"/>
                <w:sz w:val="16"/>
              </w:rPr>
              <w:t>Performance</w:t>
            </w:r>
          </w:p>
        </w:tc>
        <w:tc>
          <w:tcPr>
            <w:tcW w:type="dxa" w:w="5300"/>
            <w:tcMar>
              <w:top w:w="90" w:type="dxa"/>
              <w:start w:w="90" w:type="dxa"/>
              <w:bottom w:w="90" w:type="dxa"/>
              <w:end w:w="90" w:type="dxa"/>
            </w:tcMar>
            <w:vAlign w:val="top"/>
          </w:tcPr>
          <w:p>
            <w:pPr>
              <w:spacing w:after="0"/>
            </w:pPr>
            <w:r>
              <w:rPr>
                <w:rFonts w:ascii="Carlito" w:hAnsi="Carlito"/>
                <w:color w:val="233440"/>
                <w:sz w:val="16"/>
              </w:rPr>
              <w:t>Listado de equipo, calendario y aprobación con volumen representativo.</w:t>
            </w:r>
          </w:p>
        </w:tc>
      </w:tr>
    </w:tbl>
    <w:p>
      <w:pPr>
        <w:spacing w:after="0"/>
      </w:pPr>
    </w:p>
    <w:p>
      <w:pPr>
        <w:pStyle w:val="Heading2"/>
      </w:pPr>
      <w:r>
        <w:t>17.2 Entornos</w:t>
      </w:r>
    </w:p>
    <w:p>
      <w:pPr>
        <w:spacing w:after="120" w:line="259" w:lineRule="auto"/>
      </w:pPr>
      <w:r>
        <w:rPr>
          <w:rFonts w:ascii="Carlito" w:hAnsi="Carlito"/>
          <w:color w:val="233440"/>
          <w:sz w:val="20"/>
        </w:rPr>
        <w:t>Se recomienda separar Development, Test/UAT y Production, con registros de aplicación Entra y secretos/credenciales diferenciados. UAT debe utilizar datos anonimizados o sintéticos cuando sea posible.</w:t>
      </w:r>
    </w:p>
    <w:p>
      <w:pPr>
        <w:pStyle w:val="Heading2"/>
      </w:pPr>
      <w:r>
        <w:t>17.3 CI/CD</w:t>
      </w:r>
    </w:p>
    <w:p>
      <w:pPr>
        <w:pStyle w:val="ListBullet"/>
        <w:spacing w:after="60"/>
      </w:pPr>
      <w:r>
        <w:rPr>
          <w:rFonts w:ascii="Carlito" w:hAnsi="Carlito"/>
          <w:color w:val="233440"/>
          <w:sz w:val="20"/>
        </w:rPr>
        <w:t>Repositorio Git con branch protection y pull requests.</w:t>
      </w:r>
    </w:p>
    <w:p>
      <w:pPr>
        <w:pStyle w:val="ListBullet"/>
        <w:spacing w:after="60"/>
      </w:pPr>
      <w:r>
        <w:rPr>
          <w:rFonts w:ascii="Carlito" w:hAnsi="Carlito"/>
          <w:color w:val="233440"/>
          <w:sz w:val="20"/>
        </w:rPr>
        <w:t>Pipeline: lint → tests → SAST/dependency scan → build contenedor → scan imagen → deploy ambiente.</w:t>
      </w:r>
    </w:p>
    <w:p>
      <w:pPr>
        <w:pStyle w:val="ListBullet"/>
        <w:spacing w:after="60"/>
      </w:pPr>
      <w:r>
        <w:rPr>
          <w:rFonts w:ascii="Carlito" w:hAnsi="Carlito"/>
          <w:color w:val="233440"/>
          <w:sz w:val="20"/>
        </w:rPr>
        <w:t>Migraciones de base de datos versionadas y reversibles cuando sea posible.</w:t>
      </w:r>
    </w:p>
    <w:p>
      <w:pPr>
        <w:pStyle w:val="ListBullet"/>
        <w:spacing w:after="60"/>
      </w:pPr>
      <w:r>
        <w:rPr>
          <w:rFonts w:ascii="Carlito" w:hAnsi="Carlito"/>
          <w:color w:val="233440"/>
          <w:sz w:val="20"/>
        </w:rPr>
        <w:t>Configuración y secretos fuera del repositorio; Managed Identity/Workload Identity si se hospeda en Azure.</w:t>
      </w:r>
    </w:p>
    <w:p>
      <w:pPr>
        <w:pStyle w:val="ListBullet"/>
        <w:spacing w:after="60"/>
      </w:pPr>
      <w:r>
        <w:rPr>
          <w:rFonts w:ascii="Carlito" w:hAnsi="Carlito"/>
          <w:color w:val="233440"/>
          <w:sz w:val="20"/>
        </w:rPr>
        <w:t>Deploy gradual y rollback documentado.</w:t>
      </w:r>
    </w:p>
    <w:p>
      <w:pPr>
        <w:pStyle w:val="Heading2"/>
      </w:pPr>
      <w:r>
        <w:t>17.4 Observabilidad</w:t>
      </w:r>
    </w:p>
    <w:p>
      <w:pPr>
        <w:pStyle w:val="ListBullet"/>
        <w:spacing w:after="60"/>
      </w:pPr>
      <w:r>
        <w:rPr>
          <w:rFonts w:ascii="Carlito" w:hAnsi="Carlito"/>
          <w:color w:val="233440"/>
          <w:sz w:val="20"/>
        </w:rPr>
        <w:t>Logs estructurados con correlationId y userId técnico (sin PII innecesaria).</w:t>
      </w:r>
    </w:p>
    <w:p>
      <w:pPr>
        <w:pStyle w:val="ListBullet"/>
        <w:spacing w:after="60"/>
      </w:pPr>
      <w:r>
        <w:rPr>
          <w:rFonts w:ascii="Carlito" w:hAnsi="Carlito"/>
          <w:color w:val="233440"/>
          <w:sz w:val="20"/>
        </w:rPr>
        <w:t>Métricas: latencia, errores, requests, jobs fallidos, outbox pendiente, Graph throttling, storage failures.</w:t>
      </w:r>
    </w:p>
    <w:p>
      <w:pPr>
        <w:pStyle w:val="ListBullet"/>
        <w:spacing w:after="60"/>
      </w:pPr>
      <w:r>
        <w:rPr>
          <w:rFonts w:ascii="Carlito" w:hAnsi="Carlito"/>
          <w:color w:val="233440"/>
          <w:sz w:val="20"/>
        </w:rPr>
        <w:t>Alertas: errores sostenidos, fallos de migración, backups, expiración de certificados/credenciales y cola estancada.</w:t>
      </w:r>
    </w:p>
    <w:p>
      <w:pPr>
        <w:pStyle w:val="ListBullet"/>
        <w:spacing w:after="60"/>
      </w:pPr>
      <w:r>
        <w:rPr>
          <w:rFonts w:ascii="Carlito" w:hAnsi="Carlito"/>
          <w:color w:val="233440"/>
          <w:sz w:val="20"/>
        </w:rPr>
        <w:t>Dashboard operacional separado del dashboard funcional de RRHH.</w:t>
      </w:r>
    </w:p>
    <w:p>
      <w:pPr>
        <w:pStyle w:val="Heading1"/>
      </w:pPr>
      <w:r>
        <w:t>18. Riesgos, decisiones pendientes y criterios de aceptación</w:t>
      </w:r>
    </w:p>
    <w:p>
      <w:pPr>
        <w:pStyle w:val="Heading2"/>
      </w:pPr>
      <w:r>
        <w:t>18.1 Riesgos principales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00"/>
            <w:shd w:fill="294C60"/>
            <w:tcMar>
              <w:top w:w="90" w:type="dxa"/>
              <w:start w:w="90" w:type="dxa"/>
              <w:bottom w:w="90" w:type="dxa"/>
              <w:end w:w="90" w:type="dxa"/>
            </w:tcMar>
            <w:vAlign w:val="center"/>
          </w:tcPr>
          <w:p>
            <w:pPr>
              <w:jc w:val="left"/>
            </w:pPr>
            <w:r>
              <w:rPr>
                <w:rFonts w:ascii="Carlito" w:hAnsi="Carlito"/>
                <w:b/>
                <w:color w:val="FFFFFF"/>
                <w:sz w:val="16"/>
              </w:rPr>
              <w:t>Riesgo</w:t>
            </w:r>
          </w:p>
        </w:tc>
        <w:tc>
          <w:tcPr>
            <w:tcW w:type="dxa" w:w="2000"/>
            <w:shd w:fill="294C60"/>
            <w:tcMar>
              <w:top w:w="90" w:type="dxa"/>
              <w:start w:w="90" w:type="dxa"/>
              <w:bottom w:w="90" w:type="dxa"/>
              <w:end w:w="90" w:type="dxa"/>
            </w:tcMar>
            <w:vAlign w:val="center"/>
          </w:tcPr>
          <w:p>
            <w:pPr>
              <w:jc w:val="left"/>
            </w:pPr>
            <w:r>
              <w:rPr>
                <w:rFonts w:ascii="Carlito" w:hAnsi="Carlito"/>
                <w:b/>
                <w:color w:val="FFFFFF"/>
                <w:sz w:val="16"/>
              </w:rPr>
              <w:t>Impacto</w:t>
            </w:r>
          </w:p>
        </w:tc>
        <w:tc>
          <w:tcPr>
            <w:tcW w:type="dxa" w:w="2800"/>
            <w:shd w:fill="294C60"/>
            <w:tcMar>
              <w:top w:w="90" w:type="dxa"/>
              <w:start w:w="90" w:type="dxa"/>
              <w:bottom w:w="90" w:type="dxa"/>
              <w:end w:w="90" w:type="dxa"/>
            </w:tcMar>
            <w:vAlign w:val="center"/>
          </w:tcPr>
          <w:p>
            <w:pPr>
              <w:jc w:val="left"/>
            </w:pPr>
            <w:r>
              <w:rPr>
                <w:rFonts w:ascii="Carlito" w:hAnsi="Carlito"/>
                <w:b/>
                <w:color w:val="FFFFFF"/>
                <w:sz w:val="16"/>
              </w:rPr>
              <w:t>Mitigación</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6"/>
              </w:rPr>
              <w:t>Datos SharePoint inconsistentes</w:t>
            </w:r>
          </w:p>
        </w:tc>
        <w:tc>
          <w:tcPr>
            <w:tcW w:type="dxa" w:w="2000"/>
            <w:tcMar>
              <w:top w:w="90" w:type="dxa"/>
              <w:start w:w="90" w:type="dxa"/>
              <w:bottom w:w="90" w:type="dxa"/>
              <w:end w:w="90" w:type="dxa"/>
            </w:tcMar>
            <w:vAlign w:val="top"/>
          </w:tcPr>
          <w:p>
            <w:pPr>
              <w:spacing w:after="0"/>
            </w:pPr>
            <w:r>
              <w:rPr>
                <w:rFonts w:ascii="Carlito" w:hAnsi="Carlito"/>
                <w:color w:val="233440"/>
                <w:sz w:val="16"/>
              </w:rPr>
              <w:t>Migración incorrecta y saldos erróneos</w:t>
            </w:r>
          </w:p>
        </w:tc>
        <w:tc>
          <w:tcPr>
            <w:tcW w:type="dxa" w:w="2800"/>
            <w:tcMar>
              <w:top w:w="90" w:type="dxa"/>
              <w:start w:w="90" w:type="dxa"/>
              <w:bottom w:w="90" w:type="dxa"/>
              <w:end w:w="90" w:type="dxa"/>
            </w:tcMar>
            <w:vAlign w:val="top"/>
          </w:tcPr>
          <w:p>
            <w:pPr>
              <w:spacing w:after="0"/>
            </w:pPr>
            <w:r>
              <w:rPr>
                <w:rFonts w:ascii="Carlito" w:hAnsi="Carlito"/>
                <w:color w:val="233440"/>
                <w:sz w:val="16"/>
              </w:rPr>
              <w:t>Perfilado previo, mapping, reconciliación y aprobación de RRHH.</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6"/>
              </w:rPr>
              <w:t>Jerarquía organizacional incompleta</w:t>
            </w:r>
          </w:p>
        </w:tc>
        <w:tc>
          <w:tcPr>
            <w:tcW w:type="dxa" w:w="2000"/>
            <w:shd w:fill="FAFBFC"/>
            <w:tcMar>
              <w:top w:w="90" w:type="dxa"/>
              <w:start w:w="90" w:type="dxa"/>
              <w:bottom w:w="90" w:type="dxa"/>
              <w:end w:w="90" w:type="dxa"/>
            </w:tcMar>
            <w:vAlign w:val="top"/>
          </w:tcPr>
          <w:p>
            <w:pPr>
              <w:spacing w:after="0"/>
            </w:pPr>
            <w:r>
              <w:rPr>
                <w:rFonts w:ascii="Carlito" w:hAnsi="Carlito"/>
                <w:color w:val="233440"/>
                <w:sz w:val="16"/>
              </w:rPr>
              <w:t>Permisos incorrectos</w:t>
            </w:r>
          </w:p>
        </w:tc>
        <w:tc>
          <w:tcPr>
            <w:tcW w:type="dxa" w:w="2800"/>
            <w:shd w:fill="FAFBFC"/>
            <w:tcMar>
              <w:top w:w="90" w:type="dxa"/>
              <w:start w:w="90" w:type="dxa"/>
              <w:bottom w:w="90" w:type="dxa"/>
              <w:end w:w="90" w:type="dxa"/>
            </w:tcMar>
            <w:vAlign w:val="top"/>
          </w:tcPr>
          <w:p>
            <w:pPr>
              <w:spacing w:after="0"/>
            </w:pPr>
            <w:r>
              <w:rPr>
                <w:rFonts w:ascii="Carlito" w:hAnsi="Carlito"/>
                <w:color w:val="233440"/>
                <w:sz w:val="16"/>
              </w:rPr>
              <w:t>Definir autoridad de datos y proceso de actualización antes del go-live.</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6"/>
              </w:rPr>
              <w:t>Reglas demasiado libres</w:t>
            </w:r>
          </w:p>
        </w:tc>
        <w:tc>
          <w:tcPr>
            <w:tcW w:type="dxa" w:w="2000"/>
            <w:tcMar>
              <w:top w:w="90" w:type="dxa"/>
              <w:start w:w="90" w:type="dxa"/>
              <w:bottom w:w="90" w:type="dxa"/>
              <w:end w:w="90" w:type="dxa"/>
            </w:tcMar>
            <w:vAlign w:val="top"/>
          </w:tcPr>
          <w:p>
            <w:pPr>
              <w:spacing w:after="0"/>
            </w:pPr>
            <w:r>
              <w:rPr>
                <w:rFonts w:ascii="Carlito" w:hAnsi="Carlito"/>
                <w:color w:val="233440"/>
                <w:sz w:val="16"/>
              </w:rPr>
              <w:t>Motor complejo e inmantenible</w:t>
            </w:r>
          </w:p>
        </w:tc>
        <w:tc>
          <w:tcPr>
            <w:tcW w:type="dxa" w:w="2800"/>
            <w:tcMar>
              <w:top w:w="90" w:type="dxa"/>
              <w:start w:w="90" w:type="dxa"/>
              <w:bottom w:w="90" w:type="dxa"/>
              <w:end w:w="90" w:type="dxa"/>
            </w:tcMar>
            <w:vAlign w:val="top"/>
          </w:tcPr>
          <w:p>
            <w:pPr>
              <w:spacing w:after="0"/>
            </w:pPr>
            <w:r>
              <w:rPr>
                <w:rFonts w:ascii="Carlito" w:hAnsi="Carlito"/>
                <w:color w:val="233440"/>
                <w:sz w:val="16"/>
              </w:rPr>
              <w:t>Catálogo cerrado de reglas configurables; nuevas reglas pasan por diseño.</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6"/>
              </w:rPr>
              <w:t>Acceso excesivo a comprobantes</w:t>
            </w:r>
          </w:p>
        </w:tc>
        <w:tc>
          <w:tcPr>
            <w:tcW w:type="dxa" w:w="2000"/>
            <w:shd w:fill="FAFBFC"/>
            <w:tcMar>
              <w:top w:w="90" w:type="dxa"/>
              <w:start w:w="90" w:type="dxa"/>
              <w:bottom w:w="90" w:type="dxa"/>
              <w:end w:w="90" w:type="dxa"/>
            </w:tcMar>
            <w:vAlign w:val="top"/>
          </w:tcPr>
          <w:p>
            <w:pPr>
              <w:spacing w:after="0"/>
            </w:pPr>
            <w:r>
              <w:rPr>
                <w:rFonts w:ascii="Carlito" w:hAnsi="Carlito"/>
                <w:color w:val="233440"/>
                <w:sz w:val="16"/>
              </w:rPr>
              <w:t>Riesgo de privacidad</w:t>
            </w:r>
          </w:p>
        </w:tc>
        <w:tc>
          <w:tcPr>
            <w:tcW w:type="dxa" w:w="2800"/>
            <w:shd w:fill="FAFBFC"/>
            <w:tcMar>
              <w:top w:w="90" w:type="dxa"/>
              <w:start w:w="90" w:type="dxa"/>
              <w:bottom w:w="90" w:type="dxa"/>
              <w:end w:w="90" w:type="dxa"/>
            </w:tcMar>
            <w:vAlign w:val="top"/>
          </w:tcPr>
          <w:p>
            <w:pPr>
              <w:spacing w:after="0"/>
            </w:pPr>
            <w:r>
              <w:rPr>
                <w:rFonts w:ascii="Carlito" w:hAnsi="Carlito"/>
                <w:color w:val="233440"/>
                <w:sz w:val="16"/>
              </w:rPr>
              <w:t>Permisos separados, storage privado y auditoría de acceso.</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6"/>
              </w:rPr>
              <w:t>Coexistencia prolongada con SharePoint</w:t>
            </w:r>
          </w:p>
        </w:tc>
        <w:tc>
          <w:tcPr>
            <w:tcW w:type="dxa" w:w="2000"/>
            <w:tcMar>
              <w:top w:w="90" w:type="dxa"/>
              <w:start w:w="90" w:type="dxa"/>
              <w:bottom w:w="90" w:type="dxa"/>
              <w:end w:w="90" w:type="dxa"/>
            </w:tcMar>
            <w:vAlign w:val="top"/>
          </w:tcPr>
          <w:p>
            <w:pPr>
              <w:spacing w:after="0"/>
            </w:pPr>
            <w:r>
              <w:rPr>
                <w:rFonts w:ascii="Carlito" w:hAnsi="Carlito"/>
                <w:color w:val="233440"/>
                <w:sz w:val="16"/>
              </w:rPr>
              <w:t>Divergencias</w:t>
            </w:r>
          </w:p>
        </w:tc>
        <w:tc>
          <w:tcPr>
            <w:tcW w:type="dxa" w:w="2800"/>
            <w:tcMar>
              <w:top w:w="90" w:type="dxa"/>
              <w:start w:w="90" w:type="dxa"/>
              <w:bottom w:w="90" w:type="dxa"/>
              <w:end w:w="90" w:type="dxa"/>
            </w:tcMar>
            <w:vAlign w:val="top"/>
          </w:tcPr>
          <w:p>
            <w:pPr>
              <w:spacing w:after="0"/>
            </w:pPr>
            <w:r>
              <w:rPr>
                <w:rFonts w:ascii="Carlito" w:hAnsi="Carlito"/>
                <w:color w:val="233440"/>
                <w:sz w:val="16"/>
              </w:rPr>
              <w:t>Ventana de transición corta y una única fuente editable.</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6"/>
              </w:rPr>
              <w:t>Aprobador ausente</w:t>
            </w:r>
          </w:p>
        </w:tc>
        <w:tc>
          <w:tcPr>
            <w:tcW w:type="dxa" w:w="2000"/>
            <w:shd w:fill="FAFBFC"/>
            <w:tcMar>
              <w:top w:w="90" w:type="dxa"/>
              <w:start w:w="90" w:type="dxa"/>
              <w:bottom w:w="90" w:type="dxa"/>
              <w:end w:w="90" w:type="dxa"/>
            </w:tcMar>
            <w:vAlign w:val="top"/>
          </w:tcPr>
          <w:p>
            <w:pPr>
              <w:spacing w:after="0"/>
            </w:pPr>
            <w:r>
              <w:rPr>
                <w:rFonts w:ascii="Carlito" w:hAnsi="Carlito"/>
                <w:color w:val="233440"/>
                <w:sz w:val="16"/>
              </w:rPr>
              <w:t>Solicitudes bloqueadas</w:t>
            </w:r>
          </w:p>
        </w:tc>
        <w:tc>
          <w:tcPr>
            <w:tcW w:type="dxa" w:w="2800"/>
            <w:shd w:fill="FAFBFC"/>
            <w:tcMar>
              <w:top w:w="90" w:type="dxa"/>
              <w:start w:w="90" w:type="dxa"/>
              <w:bottom w:w="90" w:type="dxa"/>
              <w:end w:w="90" w:type="dxa"/>
            </w:tcMar>
            <w:vAlign w:val="top"/>
          </w:tcPr>
          <w:p>
            <w:pPr>
              <w:spacing w:after="0"/>
            </w:pPr>
            <w:r>
              <w:rPr>
                <w:rFonts w:ascii="Carlito" w:hAnsi="Carlito"/>
                <w:color w:val="233440"/>
                <w:sz w:val="16"/>
              </w:rPr>
              <w:t>Delegación/escala; incluir al menos mecanismo administrativo en MVP o fase temprana.</w:t>
            </w:r>
          </w:p>
        </w:tc>
      </w:tr>
      <w:tr>
        <w:trPr>
          <w:cantSplit/>
        </w:trPr>
        <w:tc>
          <w:tcPr>
            <w:tcW w:type="dxa" w:w="2000"/>
            <w:tcMar>
              <w:top w:w="90" w:type="dxa"/>
              <w:start w:w="90" w:type="dxa"/>
              <w:bottom w:w="90" w:type="dxa"/>
              <w:end w:w="90" w:type="dxa"/>
            </w:tcMar>
            <w:vAlign w:val="top"/>
          </w:tcPr>
          <w:p>
            <w:pPr>
              <w:spacing w:after="0"/>
            </w:pPr>
            <w:r>
              <w:rPr>
                <w:rFonts w:ascii="Carlito" w:hAnsi="Carlito"/>
                <w:color w:val="233440"/>
                <w:sz w:val="16"/>
              </w:rPr>
              <w:t>Cálculos históricos cambian</w:t>
            </w:r>
          </w:p>
        </w:tc>
        <w:tc>
          <w:tcPr>
            <w:tcW w:type="dxa" w:w="2000"/>
            <w:tcMar>
              <w:top w:w="90" w:type="dxa"/>
              <w:start w:w="90" w:type="dxa"/>
              <w:bottom w:w="90" w:type="dxa"/>
              <w:end w:w="90" w:type="dxa"/>
            </w:tcMar>
            <w:vAlign w:val="top"/>
          </w:tcPr>
          <w:p>
            <w:pPr>
              <w:spacing w:after="0"/>
            </w:pPr>
            <w:r>
              <w:rPr>
                <w:rFonts w:ascii="Carlito" w:hAnsi="Carlito"/>
                <w:color w:val="233440"/>
                <w:sz w:val="16"/>
              </w:rPr>
              <w:t>Inconsistencia de auditoría</w:t>
            </w:r>
          </w:p>
        </w:tc>
        <w:tc>
          <w:tcPr>
            <w:tcW w:type="dxa" w:w="2800"/>
            <w:tcMar>
              <w:top w:w="90" w:type="dxa"/>
              <w:start w:w="90" w:type="dxa"/>
              <w:bottom w:w="90" w:type="dxa"/>
              <w:end w:w="90" w:type="dxa"/>
            </w:tcMar>
            <w:vAlign w:val="top"/>
          </w:tcPr>
          <w:p>
            <w:pPr>
              <w:spacing w:after="0"/>
            </w:pPr>
            <w:r>
              <w:rPr>
                <w:rFonts w:ascii="Carlito" w:hAnsi="Carlito"/>
                <w:color w:val="233440"/>
                <w:sz w:val="16"/>
              </w:rPr>
              <w:t>Versionar políticas y guardar versión aplicada.</w:t>
            </w:r>
          </w:p>
        </w:tc>
      </w:tr>
      <w:tr>
        <w:trPr>
          <w:cantSplit/>
        </w:trPr>
        <w:tc>
          <w:tcPr>
            <w:tcW w:type="dxa" w:w="2000"/>
            <w:shd w:fill="FAFBFC"/>
            <w:tcMar>
              <w:top w:w="90" w:type="dxa"/>
              <w:start w:w="90" w:type="dxa"/>
              <w:bottom w:w="90" w:type="dxa"/>
              <w:end w:w="90" w:type="dxa"/>
            </w:tcMar>
            <w:vAlign w:val="top"/>
          </w:tcPr>
          <w:p>
            <w:pPr>
              <w:spacing w:after="0"/>
            </w:pPr>
            <w:r>
              <w:rPr>
                <w:rFonts w:ascii="Carlito" w:hAnsi="Carlito"/>
                <w:color w:val="233440"/>
                <w:sz w:val="16"/>
              </w:rPr>
              <w:t>Doble consumo por concurrencia</w:t>
            </w:r>
          </w:p>
        </w:tc>
        <w:tc>
          <w:tcPr>
            <w:tcW w:type="dxa" w:w="2000"/>
            <w:shd w:fill="FAFBFC"/>
            <w:tcMar>
              <w:top w:w="90" w:type="dxa"/>
              <w:start w:w="90" w:type="dxa"/>
              <w:bottom w:w="90" w:type="dxa"/>
              <w:end w:w="90" w:type="dxa"/>
            </w:tcMar>
            <w:vAlign w:val="top"/>
          </w:tcPr>
          <w:p>
            <w:pPr>
              <w:spacing w:after="0"/>
            </w:pPr>
            <w:r>
              <w:rPr>
                <w:rFonts w:ascii="Carlito" w:hAnsi="Carlito"/>
                <w:color w:val="233440"/>
                <w:sz w:val="16"/>
              </w:rPr>
              <w:t>Saldo incorrecto</w:t>
            </w:r>
          </w:p>
        </w:tc>
        <w:tc>
          <w:tcPr>
            <w:tcW w:type="dxa" w:w="2800"/>
            <w:shd w:fill="FAFBFC"/>
            <w:tcMar>
              <w:top w:w="90" w:type="dxa"/>
              <w:start w:w="90" w:type="dxa"/>
              <w:bottom w:w="90" w:type="dxa"/>
              <w:end w:w="90" w:type="dxa"/>
            </w:tcMar>
            <w:vAlign w:val="top"/>
          </w:tcPr>
          <w:p>
            <w:pPr>
              <w:spacing w:after="0"/>
            </w:pPr>
            <w:r>
              <w:rPr>
                <w:rFonts w:ascii="Carlito" w:hAnsi="Carlito"/>
                <w:color w:val="233440"/>
                <w:sz w:val="16"/>
              </w:rPr>
              <w:t>Transacciones, locks/concurrencia optimista e idempotencia.</w:t>
            </w:r>
          </w:p>
        </w:tc>
      </w:tr>
    </w:tbl>
    <w:p>
      <w:pPr>
        <w:spacing w:after="0"/>
      </w:pPr>
    </w:p>
    <w:p>
      <w:pPr>
        <w:pStyle w:val="Heading2"/>
      </w:pPr>
      <w:r>
        <w:t>18.2 Decisiones que requieren validación con negocio</w:t>
      </w:r>
    </w:p>
    <w:p>
      <w:pPr>
        <w:pStyle w:val="ListBullet"/>
        <w:spacing w:after="60"/>
      </w:pPr>
      <w:r>
        <w:rPr>
          <w:rFonts w:ascii="Carlito" w:hAnsi="Carlito"/>
          <w:color w:val="233440"/>
          <w:sz w:val="20"/>
        </w:rPr>
        <w:t>¿Quién puede ver comprobantes médicos además del empleado y RRHH?</w:t>
      </w:r>
    </w:p>
    <w:p>
      <w:pPr>
        <w:pStyle w:val="ListBullet"/>
        <w:spacing w:after="60"/>
      </w:pPr>
      <w:r>
        <w:rPr>
          <w:rFonts w:ascii="Carlito" w:hAnsi="Carlito"/>
          <w:color w:val="233440"/>
          <w:sz w:val="20"/>
        </w:rPr>
        <w:t>¿Supervisor y encargado pueden siempre dar altas manuales/revocar o depende del tipo de licencia?</w:t>
      </w:r>
    </w:p>
    <w:p>
      <w:pPr>
        <w:pStyle w:val="ListBullet"/>
        <w:spacing w:after="60"/>
      </w:pPr>
      <w:r>
        <w:rPr>
          <w:rFonts w:ascii="Carlito" w:hAnsi="Carlito"/>
          <w:color w:val="233440"/>
          <w:sz w:val="20"/>
        </w:rPr>
        <w:t>¿Una solicitud pendiente reserva saldo? Recomendación: sí para tipos con cupo limitado.</w:t>
      </w:r>
    </w:p>
    <w:p>
      <w:pPr>
        <w:pStyle w:val="ListBullet"/>
        <w:spacing w:after="60"/>
      </w:pPr>
      <w:r>
        <w:rPr>
          <w:rFonts w:ascii="Carlito" w:hAnsi="Carlito"/>
          <w:color w:val="233440"/>
          <w:sz w:val="20"/>
        </w:rPr>
        <w:t>¿Qué ocurre si el empleado no tiene saldo suficiente: bloquear, advertir o permitir negativo?</w:t>
      </w:r>
    </w:p>
    <w:p>
      <w:pPr>
        <w:pStyle w:val="ListBullet"/>
        <w:spacing w:after="60"/>
      </w:pPr>
      <w:r>
        <w:rPr>
          <w:rFonts w:ascii="Carlito" w:hAnsi="Carlito"/>
          <w:color w:val="233440"/>
          <w:sz w:val="20"/>
        </w:rPr>
        <w:t>¿Qué tipos requieren uno o más niveles de aprobación?</w:t>
      </w:r>
    </w:p>
    <w:p>
      <w:pPr>
        <w:pStyle w:val="ListBullet"/>
        <w:spacing w:after="60"/>
      </w:pPr>
      <w:r>
        <w:rPr>
          <w:rFonts w:ascii="Carlito" w:hAnsi="Carlito"/>
          <w:color w:val="233440"/>
          <w:sz w:val="20"/>
        </w:rPr>
        <w:t>¿Qué tipos de licencia/buckets existen actualmente y cómo se calculan sus derechos?</w:t>
      </w:r>
    </w:p>
    <w:p>
      <w:pPr>
        <w:pStyle w:val="ListBullet"/>
        <w:spacing w:after="60"/>
      </w:pPr>
      <w:r>
        <w:rPr>
          <w:rFonts w:ascii="Carlito" w:hAnsi="Carlito"/>
          <w:color w:val="233440"/>
          <w:sz w:val="20"/>
        </w:rPr>
        <w:t>¿Cuál es la autoridad de la estructura organizacional: SharePoint, Entra Groups, RRHH u otro sistema?</w:t>
      </w:r>
    </w:p>
    <w:p>
      <w:pPr>
        <w:pStyle w:val="ListBullet"/>
        <w:spacing w:after="60"/>
      </w:pPr>
      <w:r>
        <w:rPr>
          <w:rFonts w:ascii="Carlito" w:hAnsi="Carlito"/>
          <w:color w:val="233440"/>
          <w:sz w:val="20"/>
        </w:rPr>
        <w:t>¿Cuánto tiempo debe conservarse el histórico de SharePoint y los comprobantes?</w:t>
      </w:r>
    </w:p>
    <w:p>
      <w:pPr>
        <w:pStyle w:val="ListBullet"/>
        <w:spacing w:after="60"/>
      </w:pPr>
      <w:r>
        <w:rPr>
          <w:rFonts w:ascii="Carlito" w:hAnsi="Carlito"/>
          <w:color w:val="233440"/>
          <w:sz w:val="20"/>
        </w:rPr>
        <w:t>¿Se necesita delegación temporal de aprobadores en el MVP?</w:t>
      </w:r>
    </w:p>
    <w:p>
      <w:pPr>
        <w:pStyle w:val="ListBullet"/>
        <w:spacing w:after="60"/>
      </w:pPr>
      <w:r>
        <w:rPr>
          <w:rFonts w:ascii="Carlito" w:hAnsi="Carlito"/>
          <w:color w:val="233440"/>
          <w:sz w:val="20"/>
        </w:rPr>
        <w:t>¿Qué volumen de usuarios, solicitudes/año y sedes debe soportarse inicialmente?</w:t>
      </w:r>
    </w:p>
    <w:p>
      <w:pPr>
        <w:pStyle w:val="Heading2"/>
      </w:pPr>
      <w:r>
        <w:t>18.3 Criterios de aceptación del MVP</w:t>
      </w:r>
    </w:p>
    <w:p>
      <w:pPr>
        <w:spacing w:after="60"/>
        <w:ind w:left="29" w:hanging="29"/>
      </w:pPr>
      <w:r>
        <w:rPr>
          <w:rFonts w:ascii="Carlito" w:hAnsi="Carlito"/>
          <w:b/>
          <w:color w:val="233440"/>
          <w:sz w:val="20"/>
        </w:rPr>
        <w:t xml:space="preserve">1.   </w:t>
      </w:r>
      <w:r>
        <w:rPr>
          <w:rFonts w:ascii="Carlito" w:hAnsi="Carlito"/>
          <w:color w:val="233440"/>
          <w:sz w:val="20"/>
        </w:rPr>
        <w:t>Un usuario corporativo puede iniciar sesión con Entra ID sin contraseña local.</w:t>
      </w:r>
    </w:p>
    <w:p>
      <w:pPr>
        <w:spacing w:after="60"/>
        <w:ind w:left="29" w:hanging="29"/>
      </w:pPr>
      <w:r>
        <w:rPr>
          <w:rFonts w:ascii="Carlito" w:hAnsi="Carlito"/>
          <w:b/>
          <w:color w:val="233440"/>
          <w:sz w:val="20"/>
        </w:rPr>
        <w:t xml:space="preserve">2.   </w:t>
      </w:r>
      <w:r>
        <w:rPr>
          <w:rFonts w:ascii="Carlito" w:hAnsi="Carlito"/>
          <w:color w:val="233440"/>
          <w:sz w:val="20"/>
        </w:rPr>
        <w:t>Un empleado no puede acceder a datos de otro empleado salvo información explícitamente pública del calendario.</w:t>
      </w:r>
    </w:p>
    <w:p>
      <w:pPr>
        <w:spacing w:after="60"/>
        <w:ind w:left="29" w:hanging="29"/>
      </w:pPr>
      <w:r>
        <w:rPr>
          <w:rFonts w:ascii="Carlito" w:hAnsi="Carlito"/>
          <w:b/>
          <w:color w:val="233440"/>
          <w:sz w:val="20"/>
        </w:rPr>
        <w:t xml:space="preserve">3.   </w:t>
      </w:r>
      <w:r>
        <w:rPr>
          <w:rFonts w:ascii="Carlito" w:hAnsi="Carlito"/>
          <w:color w:val="233440"/>
          <w:sz w:val="20"/>
        </w:rPr>
        <w:t>Un supervisor solo puede actuar sobre usuarios dentro de su alcance.</w:t>
      </w:r>
    </w:p>
    <w:p>
      <w:pPr>
        <w:spacing w:after="60"/>
        <w:ind w:left="29" w:hanging="29"/>
      </w:pPr>
      <w:r>
        <w:rPr>
          <w:rFonts w:ascii="Carlito" w:hAnsi="Carlito"/>
          <w:b/>
          <w:color w:val="233440"/>
          <w:sz w:val="20"/>
        </w:rPr>
        <w:t xml:space="preserve">4.   </w:t>
      </w:r>
      <w:r>
        <w:rPr>
          <w:rFonts w:ascii="Carlito" w:hAnsi="Carlito"/>
          <w:color w:val="233440"/>
          <w:sz w:val="20"/>
        </w:rPr>
        <w:t>Un encargado con descendientes puede gestionar correctamente todas las unidades hijas asignadas.</w:t>
      </w:r>
    </w:p>
    <w:p>
      <w:pPr>
        <w:spacing w:after="60"/>
        <w:ind w:left="29" w:hanging="29"/>
      </w:pPr>
      <w:r>
        <w:rPr>
          <w:rFonts w:ascii="Carlito" w:hAnsi="Carlito"/>
          <w:b/>
          <w:color w:val="233440"/>
          <w:sz w:val="20"/>
        </w:rPr>
        <w:t xml:space="preserve">5.   </w:t>
      </w:r>
      <w:r>
        <w:rPr>
          <w:rFonts w:ascii="Carlito" w:hAnsi="Carlito"/>
          <w:color w:val="233440"/>
          <w:sz w:val="20"/>
        </w:rPr>
        <w:t>Las reglas de solapamiento, medio día y hábil/corrido pueden cambiarse sin despliegue.</w:t>
      </w:r>
    </w:p>
    <w:p>
      <w:pPr>
        <w:spacing w:after="60"/>
        <w:ind w:left="29" w:hanging="29"/>
      </w:pPr>
      <w:r>
        <w:rPr>
          <w:rFonts w:ascii="Carlito" w:hAnsi="Carlito"/>
          <w:b/>
          <w:color w:val="233440"/>
          <w:sz w:val="20"/>
        </w:rPr>
        <w:t xml:space="preserve">6.   </w:t>
      </w:r>
      <w:r>
        <w:rPr>
          <w:rFonts w:ascii="Carlito" w:hAnsi="Carlito"/>
          <w:color w:val="233440"/>
          <w:sz w:val="20"/>
        </w:rPr>
        <w:t>El cálculo de días muestra la regla aplicada y coincide con pruebas de calendario/feriados.</w:t>
      </w:r>
    </w:p>
    <w:p>
      <w:pPr>
        <w:spacing w:after="60"/>
        <w:ind w:left="29" w:hanging="29"/>
      </w:pPr>
      <w:r>
        <w:rPr>
          <w:rFonts w:ascii="Carlito" w:hAnsi="Carlito"/>
          <w:b/>
          <w:color w:val="233440"/>
          <w:sz w:val="20"/>
        </w:rPr>
        <w:t xml:space="preserve">7.   </w:t>
      </w:r>
      <w:r>
        <w:rPr>
          <w:rFonts w:ascii="Carlito" w:hAnsi="Carlito"/>
          <w:color w:val="233440"/>
          <w:sz w:val="20"/>
        </w:rPr>
        <w:t>El saldo disponible, reservado y consumido se puede reconstruir íntegramente desde el ledger.</w:t>
      </w:r>
    </w:p>
    <w:p>
      <w:pPr>
        <w:spacing w:after="60"/>
        <w:ind w:left="29" w:hanging="29"/>
      </w:pPr>
      <w:r>
        <w:rPr>
          <w:rFonts w:ascii="Carlito" w:hAnsi="Carlito"/>
          <w:b/>
          <w:color w:val="233440"/>
          <w:sz w:val="20"/>
        </w:rPr>
        <w:t xml:space="preserve">8.   </w:t>
      </w:r>
      <w:r>
        <w:rPr>
          <w:rFonts w:ascii="Carlito" w:hAnsi="Carlito"/>
          <w:color w:val="233440"/>
          <w:sz w:val="20"/>
        </w:rPr>
        <w:t>Enviar/aprobar/rechazar/cancelar/revocar produce transiciones válidas e impide transiciones inválidas.</w:t>
      </w:r>
    </w:p>
    <w:p>
      <w:pPr>
        <w:spacing w:after="60"/>
        <w:ind w:left="29" w:hanging="29"/>
      </w:pPr>
      <w:r>
        <w:rPr>
          <w:rFonts w:ascii="Carlito" w:hAnsi="Carlito"/>
          <w:b/>
          <w:color w:val="233440"/>
          <w:sz w:val="20"/>
        </w:rPr>
        <w:t xml:space="preserve">9.   </w:t>
      </w:r>
      <w:r>
        <w:rPr>
          <w:rFonts w:ascii="Carlito" w:hAnsi="Carlito"/>
          <w:color w:val="233440"/>
          <w:sz w:val="20"/>
        </w:rPr>
        <w:t>Los comprobantes médicos no son públicos y se deniega el acceso a roles no autorizados.</w:t>
      </w:r>
    </w:p>
    <w:p>
      <w:pPr>
        <w:spacing w:after="60"/>
        <w:ind w:left="29" w:hanging="29"/>
      </w:pPr>
      <w:r>
        <w:rPr>
          <w:rFonts w:ascii="Carlito" w:hAnsi="Carlito"/>
          <w:b/>
          <w:color w:val="233440"/>
          <w:sz w:val="20"/>
        </w:rPr>
        <w:t xml:space="preserve">10.   </w:t>
      </w:r>
      <w:r>
        <w:rPr>
          <w:rFonts w:ascii="Carlito" w:hAnsi="Carlito"/>
          <w:color w:val="233440"/>
          <w:sz w:val="20"/>
        </w:rPr>
        <w:t>Todas las acciones administrativas relevantes generan auditoría.</w:t>
      </w:r>
    </w:p>
    <w:p>
      <w:pPr>
        <w:spacing w:after="60"/>
        <w:ind w:left="29" w:hanging="29"/>
      </w:pPr>
      <w:r>
        <w:rPr>
          <w:rFonts w:ascii="Carlito" w:hAnsi="Carlito"/>
          <w:b/>
          <w:color w:val="233440"/>
          <w:sz w:val="20"/>
        </w:rPr>
        <w:t xml:space="preserve">11.   </w:t>
      </w:r>
      <w:r>
        <w:rPr>
          <w:rFonts w:ascii="Carlito" w:hAnsi="Carlito"/>
          <w:color w:val="233440"/>
          <w:sz w:val="20"/>
        </w:rPr>
        <w:t>La aplicación es usable en viewport móvil y desktop.</w:t>
      </w:r>
    </w:p>
    <w:p>
      <w:pPr>
        <w:spacing w:after="60"/>
        <w:ind w:left="29" w:hanging="29"/>
      </w:pPr>
      <w:r>
        <w:rPr>
          <w:rFonts w:ascii="Carlito" w:hAnsi="Carlito"/>
          <w:b/>
          <w:color w:val="233440"/>
          <w:sz w:val="20"/>
        </w:rPr>
        <w:t xml:space="preserve">12.   </w:t>
      </w:r>
      <w:r>
        <w:rPr>
          <w:rFonts w:ascii="Carlito" w:hAnsi="Carlito"/>
          <w:color w:val="233440"/>
          <w:sz w:val="20"/>
        </w:rPr>
        <w:t>La migración de SharePoint genera un reporte de reconciliación sin diferencias no justificadas.</w:t>
      </w:r>
    </w:p>
    <w:p>
      <w:pPr>
        <w:pStyle w:val="Heading1"/>
      </w:pPr>
      <w:r>
        <w:t>19. Referencias técnicas verificadas</w:t>
      </w:r>
    </w:p>
    <w:p>
      <w:pPr>
        <w:spacing w:after="120" w:line="259" w:lineRule="auto"/>
      </w:pPr>
      <w:r>
        <w:rPr>
          <w:rFonts w:ascii="Carlito" w:hAnsi="Carlito"/>
          <w:color w:val="233440"/>
          <w:sz w:val="20"/>
        </w:rPr>
        <w:t>Referencias consultadas para validar decisiones de integración y versiones tecnológicas a la fecha del documento. Las reglas funcionales descritas en este documento son una propuesta de arquitectura y deben validarse con RRHH y responsables del proceso.</w:t>
      </w:r>
    </w:p>
    <w:p>
      <w:pPr>
        <w:spacing w:after="80"/>
      </w:pPr>
      <w:r>
        <w:rPr>
          <w:rFonts w:ascii="Carlito" w:hAnsi="Carlito"/>
          <w:color w:val="233440"/>
          <w:sz w:val="18"/>
        </w:rPr>
        <w:t xml:space="preserve">R1 — .NET Support Policy — .NET 10 figura como LTS activo, publicado el 11/11/2025 y con soporte hasta noviembre de 2028. </w:t>
      </w:r>
      <w:hyperlink r:id="rId15">
        <w:r>
          <w:rPr>
            <w:color w:val="2F6F9F"/>
            <w:u w:val="single"/>
          </w:rPr>
          <w:t>Fuente</w:t>
        </w:r>
      </w:hyperlink>
    </w:p>
    <w:p>
      <w:pPr>
        <w:spacing w:after="80"/>
      </w:pPr>
      <w:r>
        <w:rPr>
          <w:rFonts w:ascii="Carlito" w:hAnsi="Carlito"/>
          <w:color w:val="233440"/>
          <w:sz w:val="18"/>
        </w:rPr>
        <w:t xml:space="preserve">R2 — Microsoft Learn — autenticación de aplicaciones ASP.NET Core con Microsoft Entra ID / Microsoft.Identity.Web. </w:t>
      </w:r>
      <w:hyperlink r:id="rId16">
        <w:r>
          <w:rPr>
            <w:color w:val="2F6F9F"/>
            <w:u w:val="single"/>
          </w:rPr>
          <w:t>Fuente</w:t>
        </w:r>
      </w:hyperlink>
    </w:p>
    <w:p>
      <w:pPr>
        <w:spacing w:after="80"/>
      </w:pPr>
      <w:r>
        <w:rPr>
          <w:rFonts w:ascii="Carlito" w:hAnsi="Carlito"/>
          <w:color w:val="233440"/>
          <w:sz w:val="18"/>
        </w:rPr>
        <w:t xml:space="preserve">R3 — Microsoft Graph — acceso a sitios, listas e ítems de SharePoint. </w:t>
      </w:r>
      <w:hyperlink r:id="rId17">
        <w:r>
          <w:rPr>
            <w:color w:val="2F6F9F"/>
            <w:u w:val="single"/>
          </w:rPr>
          <w:t>Fuente</w:t>
        </w:r>
      </w:hyperlink>
    </w:p>
    <w:p>
      <w:pPr>
        <w:spacing w:after="80"/>
      </w:pPr>
      <w:r>
        <w:rPr>
          <w:rFonts w:ascii="Carlito" w:hAnsi="Carlito"/>
          <w:color w:val="233440"/>
          <w:sz w:val="18"/>
        </w:rPr>
        <w:t xml:space="preserve">R4 — Microsoft Graph — miembros de grupos y relaciones transitivas. </w:t>
      </w:r>
      <w:hyperlink r:id="rId18">
        <w:r>
          <w:rPr>
            <w:color w:val="2F6F9F"/>
            <w:u w:val="single"/>
          </w:rPr>
          <w:t>Fuente</w:t>
        </w:r>
      </w:hyperlink>
    </w:p>
    <w:p>
      <w:pPr>
        <w:spacing w:after="80"/>
      </w:pPr>
      <w:r>
        <w:rPr>
          <w:rFonts w:ascii="Carlito" w:hAnsi="Carlito"/>
          <w:color w:val="233440"/>
          <w:sz w:val="18"/>
        </w:rPr>
        <w:t xml:space="preserve">R5 — Azure Storage — recomendaciones de seguridad para Blob Storage y acceso delegado. </w:t>
      </w:r>
      <w:hyperlink r:id="rId19">
        <w:r>
          <w:rPr>
            <w:color w:val="2F6F9F"/>
            <w:u w:val="single"/>
          </w:rPr>
          <w:t>Fuente</w:t>
        </w:r>
      </w:hyperlink>
    </w:p>
    <w:p>
      <w:pPr>
        <w:spacing w:after="80"/>
      </w:pPr>
      <w:r>
        <w:rPr>
          <w:rFonts w:ascii="Carlito" w:hAnsi="Carlito"/>
          <w:color w:val="233440"/>
          <w:sz w:val="18"/>
        </w:rPr>
        <w:t xml:space="preserve">R6 — Microsoft Graph — Selected permissions para restringir acceso a sitios/listas específicos. </w:t>
      </w:r>
      <w:hyperlink r:id="rId20">
        <w:r>
          <w:rPr>
            <w:color w:val="2F6F9F"/>
            <w:u w:val="single"/>
          </w:rPr>
          <w:t>Fuente</w:t>
        </w:r>
      </w:hyperlink>
    </w:p>
    <w:p>
      <w:pPr>
        <w:spacing w:after="80"/>
      </w:pPr>
      <w:r>
        <w:rPr>
          <w:rFonts w:ascii="Carlito" w:hAnsi="Carlito"/>
          <w:color w:val="233440"/>
          <w:sz w:val="18"/>
        </w:rPr>
        <w:t xml:space="preserve">R7 — Microsoft Graph — delta para cambios de listItems de SharePoint. </w:t>
      </w:r>
      <w:hyperlink r:id="rId21">
        <w:r>
          <w:rPr>
            <w:color w:val="2F6F9F"/>
            <w:u w:val="single"/>
          </w:rPr>
          <w:t>Fuente</w:t>
        </w:r>
      </w:hyperlink>
    </w:p>
    <w:p>
      <w:pPr>
        <w:pStyle w:val="Heading1"/>
      </w:pPr>
      <w:r>
        <w:t>Anexo A. Propuesta de backlog inicial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0"/>
            <w:shd w:fill="294C60"/>
            <w:tcMar>
              <w:top w:w="90" w:type="dxa"/>
              <w:start w:w="90" w:type="dxa"/>
              <w:bottom w:w="90" w:type="dxa"/>
              <w:end w:w="90" w:type="dxa"/>
            </w:tcMar>
            <w:vAlign w:val="center"/>
          </w:tcPr>
          <w:p>
            <w:pPr>
              <w:jc w:val="left"/>
            </w:pPr>
            <w:r>
              <w:rPr>
                <w:rFonts w:ascii="Carlito" w:hAnsi="Carlito"/>
                <w:b/>
                <w:color w:val="FFFFFF"/>
                <w:sz w:val="17"/>
              </w:rPr>
              <w:t>Épica</w:t>
            </w:r>
          </w:p>
        </w:tc>
        <w:tc>
          <w:tcPr>
            <w:tcW w:type="dxa" w:w="4500"/>
            <w:shd w:fill="294C60"/>
            <w:tcMar>
              <w:top w:w="90" w:type="dxa"/>
              <w:start w:w="90" w:type="dxa"/>
              <w:bottom w:w="90" w:type="dxa"/>
              <w:end w:w="90" w:type="dxa"/>
            </w:tcMar>
            <w:vAlign w:val="center"/>
          </w:tcPr>
          <w:p>
            <w:pPr>
              <w:jc w:val="left"/>
            </w:pPr>
            <w:r>
              <w:rPr>
                <w:rFonts w:ascii="Carlito" w:hAnsi="Carlito"/>
                <w:b/>
                <w:color w:val="FFFFFF"/>
                <w:sz w:val="17"/>
              </w:rPr>
              <w:t>Resultado</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EP-01 Identidad y acceso</w:t>
            </w:r>
          </w:p>
        </w:tc>
        <w:tc>
          <w:tcPr>
            <w:tcW w:type="dxa" w:w="4500"/>
            <w:tcMar>
              <w:top w:w="90" w:type="dxa"/>
              <w:start w:w="90" w:type="dxa"/>
              <w:bottom w:w="90" w:type="dxa"/>
              <w:end w:w="90" w:type="dxa"/>
            </w:tcMar>
            <w:vAlign w:val="top"/>
          </w:tcPr>
          <w:p>
            <w:pPr>
              <w:spacing w:after="0"/>
            </w:pPr>
            <w:r>
              <w:rPr>
                <w:rFonts w:ascii="Carlito" w:hAnsi="Carlito"/>
                <w:color w:val="233440"/>
                <w:sz w:val="17"/>
              </w:rPr>
              <w:t>SSO, provisioning, roles/scopes, middleware de autorización.</w:t>
            </w:r>
          </w:p>
        </w:tc>
      </w:tr>
      <w:tr>
        <w:trPr>
          <w:cantSplit/>
        </w:trPr>
        <w:tc>
          <w:tcPr>
            <w:tcW w:type="dxa" w:w="2300"/>
            <w:shd w:fill="FAFBFC"/>
            <w:tcMar>
              <w:top w:w="90" w:type="dxa"/>
              <w:start w:w="90" w:type="dxa"/>
              <w:bottom w:w="90" w:type="dxa"/>
              <w:end w:w="90" w:type="dxa"/>
            </w:tcMar>
            <w:vAlign w:val="top"/>
          </w:tcPr>
          <w:p>
            <w:pPr>
              <w:spacing w:after="0"/>
            </w:pPr>
            <w:r>
              <w:rPr>
                <w:rFonts w:ascii="Carlito" w:hAnsi="Carlito"/>
                <w:color w:val="233440"/>
                <w:sz w:val="17"/>
              </w:rPr>
              <w:t>EP-02 Organización</w:t>
            </w:r>
          </w:p>
        </w:tc>
        <w:tc>
          <w:tcPr>
            <w:tcW w:type="dxa" w:w="4500"/>
            <w:shd w:fill="FAFBFC"/>
            <w:tcMar>
              <w:top w:w="90" w:type="dxa"/>
              <w:start w:w="90" w:type="dxa"/>
              <w:bottom w:w="90" w:type="dxa"/>
              <w:end w:w="90" w:type="dxa"/>
            </w:tcMar>
            <w:vAlign w:val="top"/>
          </w:tcPr>
          <w:p>
            <w:pPr>
              <w:spacing w:after="0"/>
            </w:pPr>
            <w:r>
              <w:rPr>
                <w:rFonts w:ascii="Carlito" w:hAnsi="Carlito"/>
                <w:color w:val="233440"/>
                <w:sz w:val="17"/>
              </w:rPr>
              <w:t>Unidades, jerarquía, responsables, pertenencias y consultas por alcance.</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EP-03 Configuración funcional</w:t>
            </w:r>
          </w:p>
        </w:tc>
        <w:tc>
          <w:tcPr>
            <w:tcW w:type="dxa" w:w="4500"/>
            <w:tcMar>
              <w:top w:w="90" w:type="dxa"/>
              <w:start w:w="90" w:type="dxa"/>
              <w:bottom w:w="90" w:type="dxa"/>
              <w:end w:w="90" w:type="dxa"/>
            </w:tcMar>
            <w:vAlign w:val="top"/>
          </w:tcPr>
          <w:p>
            <w:pPr>
              <w:spacing w:after="0"/>
            </w:pPr>
            <w:r>
              <w:rPr>
                <w:rFonts w:ascii="Carlito" w:hAnsi="Carlito"/>
                <w:color w:val="233440"/>
                <w:sz w:val="17"/>
              </w:rPr>
              <w:t>Tipos, buckets, políticas versionadas, feriados y overrides.</w:t>
            </w:r>
          </w:p>
        </w:tc>
      </w:tr>
      <w:tr>
        <w:trPr>
          <w:cantSplit/>
        </w:trPr>
        <w:tc>
          <w:tcPr>
            <w:tcW w:type="dxa" w:w="2300"/>
            <w:shd w:fill="FAFBFC"/>
            <w:tcMar>
              <w:top w:w="90" w:type="dxa"/>
              <w:start w:w="90" w:type="dxa"/>
              <w:bottom w:w="90" w:type="dxa"/>
              <w:end w:w="90" w:type="dxa"/>
            </w:tcMar>
            <w:vAlign w:val="top"/>
          </w:tcPr>
          <w:p>
            <w:pPr>
              <w:spacing w:after="0"/>
            </w:pPr>
            <w:r>
              <w:rPr>
                <w:rFonts w:ascii="Carlito" w:hAnsi="Carlito"/>
                <w:color w:val="233440"/>
                <w:sz w:val="17"/>
              </w:rPr>
              <w:t>EP-04 Saldos</w:t>
            </w:r>
          </w:p>
        </w:tc>
        <w:tc>
          <w:tcPr>
            <w:tcW w:type="dxa" w:w="4500"/>
            <w:shd w:fill="FAFBFC"/>
            <w:tcMar>
              <w:top w:w="90" w:type="dxa"/>
              <w:start w:w="90" w:type="dxa"/>
              <w:bottom w:w="90" w:type="dxa"/>
              <w:end w:w="90" w:type="dxa"/>
            </w:tcMar>
            <w:vAlign w:val="top"/>
          </w:tcPr>
          <w:p>
            <w:pPr>
              <w:spacing w:after="0"/>
            </w:pPr>
            <w:r>
              <w:rPr>
                <w:rFonts w:ascii="Carlito" w:hAnsi="Carlito"/>
                <w:color w:val="233440"/>
                <w:sz w:val="17"/>
              </w:rPr>
              <w:t>Ledger, asignaciones, reservas, consumos, devoluciones y ajustes.</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EP-05 Solicitudes</w:t>
            </w:r>
          </w:p>
        </w:tc>
        <w:tc>
          <w:tcPr>
            <w:tcW w:type="dxa" w:w="4500"/>
            <w:tcMar>
              <w:top w:w="90" w:type="dxa"/>
              <w:start w:w="90" w:type="dxa"/>
              <w:bottom w:w="90" w:type="dxa"/>
              <w:end w:w="90" w:type="dxa"/>
            </w:tcMar>
            <w:vAlign w:val="top"/>
          </w:tcPr>
          <w:p>
            <w:pPr>
              <w:spacing w:after="0"/>
            </w:pPr>
            <w:r>
              <w:rPr>
                <w:rFonts w:ascii="Carlito" w:hAnsi="Carlito"/>
                <w:color w:val="233440"/>
                <w:sz w:val="17"/>
              </w:rPr>
              <w:t>Borrador, cálculo, validación, envío, adjuntos, comentarios.</w:t>
            </w:r>
          </w:p>
        </w:tc>
      </w:tr>
      <w:tr>
        <w:trPr>
          <w:cantSplit/>
        </w:trPr>
        <w:tc>
          <w:tcPr>
            <w:tcW w:type="dxa" w:w="2300"/>
            <w:shd w:fill="FAFBFC"/>
            <w:tcMar>
              <w:top w:w="90" w:type="dxa"/>
              <w:start w:w="90" w:type="dxa"/>
              <w:bottom w:w="90" w:type="dxa"/>
              <w:end w:w="90" w:type="dxa"/>
            </w:tcMar>
            <w:vAlign w:val="top"/>
          </w:tcPr>
          <w:p>
            <w:pPr>
              <w:spacing w:after="0"/>
            </w:pPr>
            <w:r>
              <w:rPr>
                <w:rFonts w:ascii="Carlito" w:hAnsi="Carlito"/>
                <w:color w:val="233440"/>
                <w:sz w:val="17"/>
              </w:rPr>
              <w:t>EP-06 Aprobaciones</w:t>
            </w:r>
          </w:p>
        </w:tc>
        <w:tc>
          <w:tcPr>
            <w:tcW w:type="dxa" w:w="4500"/>
            <w:shd w:fill="FAFBFC"/>
            <w:tcMar>
              <w:top w:w="90" w:type="dxa"/>
              <w:start w:w="90" w:type="dxa"/>
              <w:bottom w:w="90" w:type="dxa"/>
              <w:end w:w="90" w:type="dxa"/>
            </w:tcMar>
            <w:vAlign w:val="top"/>
          </w:tcPr>
          <w:p>
            <w:pPr>
              <w:spacing w:after="0"/>
            </w:pPr>
            <w:r>
              <w:rPr>
                <w:rFonts w:ascii="Carlito" w:hAnsi="Carlito"/>
                <w:color w:val="233440"/>
                <w:sz w:val="17"/>
              </w:rPr>
              <w:t>Workflow, bandeja, aprobar/rechazar, cancelación, revocación.</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EP-07 Equipo</w:t>
            </w:r>
          </w:p>
        </w:tc>
        <w:tc>
          <w:tcPr>
            <w:tcW w:type="dxa" w:w="4500"/>
            <w:tcMar>
              <w:top w:w="90" w:type="dxa"/>
              <w:start w:w="90" w:type="dxa"/>
              <w:bottom w:w="90" w:type="dxa"/>
              <w:end w:w="90" w:type="dxa"/>
            </w:tcMar>
            <w:vAlign w:val="top"/>
          </w:tcPr>
          <w:p>
            <w:pPr>
              <w:spacing w:after="0"/>
            </w:pPr>
            <w:r>
              <w:rPr>
                <w:rFonts w:ascii="Carlito" w:hAnsi="Carlito"/>
                <w:color w:val="233440"/>
                <w:sz w:val="17"/>
              </w:rPr>
              <w:t>Mi equipo, detalle de empleado, calendario, alta manual.</w:t>
            </w:r>
          </w:p>
        </w:tc>
      </w:tr>
      <w:tr>
        <w:trPr>
          <w:cantSplit/>
        </w:trPr>
        <w:tc>
          <w:tcPr>
            <w:tcW w:type="dxa" w:w="2300"/>
            <w:shd w:fill="FAFBFC"/>
            <w:tcMar>
              <w:top w:w="90" w:type="dxa"/>
              <w:start w:w="90" w:type="dxa"/>
              <w:bottom w:w="90" w:type="dxa"/>
              <w:end w:w="90" w:type="dxa"/>
            </w:tcMar>
            <w:vAlign w:val="top"/>
          </w:tcPr>
          <w:p>
            <w:pPr>
              <w:spacing w:after="0"/>
            </w:pPr>
            <w:r>
              <w:rPr>
                <w:rFonts w:ascii="Carlito" w:hAnsi="Carlito"/>
                <w:color w:val="233440"/>
                <w:sz w:val="17"/>
              </w:rPr>
              <w:t>EP-08 RRHH</w:t>
            </w:r>
          </w:p>
        </w:tc>
        <w:tc>
          <w:tcPr>
            <w:tcW w:type="dxa" w:w="4500"/>
            <w:shd w:fill="FAFBFC"/>
            <w:tcMar>
              <w:top w:w="90" w:type="dxa"/>
              <w:start w:w="90" w:type="dxa"/>
              <w:bottom w:w="90" w:type="dxa"/>
              <w:end w:w="90" w:type="dxa"/>
            </w:tcMar>
            <w:vAlign w:val="top"/>
          </w:tcPr>
          <w:p>
            <w:pPr>
              <w:spacing w:after="0"/>
            </w:pPr>
            <w:r>
              <w:rPr>
                <w:rFonts w:ascii="Carlito" w:hAnsi="Carlito"/>
                <w:color w:val="233440"/>
                <w:sz w:val="17"/>
              </w:rPr>
              <w:t>Configuración, auditoría, reportes básicos.</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EP-09 Integraciones</w:t>
            </w:r>
          </w:p>
        </w:tc>
        <w:tc>
          <w:tcPr>
            <w:tcW w:type="dxa" w:w="4500"/>
            <w:tcMar>
              <w:top w:w="90" w:type="dxa"/>
              <w:start w:w="90" w:type="dxa"/>
              <w:bottom w:w="90" w:type="dxa"/>
              <w:end w:w="90" w:type="dxa"/>
            </w:tcMar>
            <w:vAlign w:val="top"/>
          </w:tcPr>
          <w:p>
            <w:pPr>
              <w:spacing w:after="0"/>
            </w:pPr>
            <w:r>
              <w:rPr>
                <w:rFonts w:ascii="Carlito" w:hAnsi="Carlito"/>
                <w:color w:val="233440"/>
                <w:sz w:val="17"/>
              </w:rPr>
              <w:t>Graph SharePoint, notificaciones, storage privado.</w:t>
            </w:r>
          </w:p>
        </w:tc>
      </w:tr>
      <w:tr>
        <w:trPr>
          <w:cantSplit/>
        </w:trPr>
        <w:tc>
          <w:tcPr>
            <w:tcW w:type="dxa" w:w="2300"/>
            <w:shd w:fill="FAFBFC"/>
            <w:tcMar>
              <w:top w:w="90" w:type="dxa"/>
              <w:start w:w="90" w:type="dxa"/>
              <w:bottom w:w="90" w:type="dxa"/>
              <w:end w:w="90" w:type="dxa"/>
            </w:tcMar>
            <w:vAlign w:val="top"/>
          </w:tcPr>
          <w:p>
            <w:pPr>
              <w:spacing w:after="0"/>
            </w:pPr>
            <w:r>
              <w:rPr>
                <w:rFonts w:ascii="Carlito" w:hAnsi="Carlito"/>
                <w:color w:val="233440"/>
                <w:sz w:val="17"/>
              </w:rPr>
              <w:t>EP-10 Migración</w:t>
            </w:r>
          </w:p>
        </w:tc>
        <w:tc>
          <w:tcPr>
            <w:tcW w:type="dxa" w:w="4500"/>
            <w:shd w:fill="FAFBFC"/>
            <w:tcMar>
              <w:top w:w="90" w:type="dxa"/>
              <w:start w:w="90" w:type="dxa"/>
              <w:bottom w:w="90" w:type="dxa"/>
              <w:end w:w="90" w:type="dxa"/>
            </w:tcMar>
            <w:vAlign w:val="top"/>
          </w:tcPr>
          <w:p>
            <w:pPr>
              <w:spacing w:after="0"/>
            </w:pPr>
            <w:r>
              <w:rPr>
                <w:rFonts w:ascii="Carlito" w:hAnsi="Carlito"/>
                <w:color w:val="233440"/>
                <w:sz w:val="17"/>
              </w:rPr>
              <w:t>Mapping, importadores, reconciliación y cut-over.</w:t>
            </w:r>
          </w:p>
        </w:tc>
      </w:tr>
      <w:tr>
        <w:trPr>
          <w:cantSplit/>
        </w:trPr>
        <w:tc>
          <w:tcPr>
            <w:tcW w:type="dxa" w:w="2300"/>
            <w:tcMar>
              <w:top w:w="90" w:type="dxa"/>
              <w:start w:w="90" w:type="dxa"/>
              <w:bottom w:w="90" w:type="dxa"/>
              <w:end w:w="90" w:type="dxa"/>
            </w:tcMar>
            <w:vAlign w:val="top"/>
          </w:tcPr>
          <w:p>
            <w:pPr>
              <w:spacing w:after="0"/>
            </w:pPr>
            <w:r>
              <w:rPr>
                <w:rFonts w:ascii="Carlito" w:hAnsi="Carlito"/>
                <w:color w:val="233440"/>
                <w:sz w:val="17"/>
              </w:rPr>
              <w:t>EP-11 Operación</w:t>
            </w:r>
          </w:p>
        </w:tc>
        <w:tc>
          <w:tcPr>
            <w:tcW w:type="dxa" w:w="4500"/>
            <w:tcMar>
              <w:top w:w="90" w:type="dxa"/>
              <w:start w:w="90" w:type="dxa"/>
              <w:bottom w:w="90" w:type="dxa"/>
              <w:end w:w="90" w:type="dxa"/>
            </w:tcMar>
            <w:vAlign w:val="top"/>
          </w:tcPr>
          <w:p>
            <w:pPr>
              <w:spacing w:after="0"/>
            </w:pPr>
            <w:r>
              <w:rPr>
                <w:rFonts w:ascii="Carlito" w:hAnsi="Carlito"/>
                <w:color w:val="233440"/>
                <w:sz w:val="17"/>
              </w:rPr>
              <w:t>Observabilidad, backups, CI/CD, seguridad y runbooks.</w:t>
            </w:r>
          </w:p>
        </w:tc>
      </w:tr>
    </w:tbl>
    <w:p>
      <w:pPr>
        <w:spacing w:after="0"/>
      </w:pPr>
    </w:p>
    <w:p>
      <w:pPr>
        <w:pStyle w:val="Heading1"/>
      </w:pPr>
      <w:r>
        <w:t>Anexo B. Reglas mínimas a relevar por cada tipo de licencia</w:t>
      </w:r>
    </w:p>
    <w:p>
      <w:pPr>
        <w:pStyle w:val="ListBullet"/>
        <w:spacing w:after="60"/>
      </w:pPr>
      <w:r>
        <w:rPr>
          <w:rFonts w:ascii="Carlito" w:hAnsi="Carlito"/>
          <w:color w:val="233440"/>
          <w:sz w:val="20"/>
        </w:rPr>
        <w:t>Nombre/código y descripción visible.</w:t>
      </w:r>
    </w:p>
    <w:p>
      <w:pPr>
        <w:pStyle w:val="ListBullet"/>
        <w:spacing w:after="60"/>
      </w:pPr>
      <w:r>
        <w:rPr>
          <w:rFonts w:ascii="Carlito" w:hAnsi="Carlito"/>
          <w:color w:val="233440"/>
          <w:sz w:val="20"/>
        </w:rPr>
        <w:t>¿Consume saldo? ¿Qué bucket?</w:t>
      </w:r>
    </w:p>
    <w:p>
      <w:pPr>
        <w:pStyle w:val="ListBullet"/>
        <w:spacing w:after="60"/>
      </w:pPr>
      <w:r>
        <w:rPr>
          <w:rFonts w:ascii="Carlito" w:hAnsi="Carlito"/>
          <w:color w:val="233440"/>
          <w:sz w:val="20"/>
        </w:rPr>
        <w:t>Unidad del saldo: días / medios días / horas (futuro).</w:t>
      </w:r>
    </w:p>
    <w:p>
      <w:pPr>
        <w:pStyle w:val="ListBullet"/>
        <w:spacing w:after="60"/>
      </w:pPr>
      <w:r>
        <w:rPr>
          <w:rFonts w:ascii="Carlito" w:hAnsi="Carlito"/>
          <w:color w:val="233440"/>
          <w:sz w:val="20"/>
        </w:rPr>
        <w:t>Días hábiles o corridos; fines de semana; calendario de feriados.</w:t>
      </w:r>
    </w:p>
    <w:p>
      <w:pPr>
        <w:pStyle w:val="ListBullet"/>
        <w:spacing w:after="60"/>
      </w:pPr>
      <w:r>
        <w:rPr>
          <w:rFonts w:ascii="Carlito" w:hAnsi="Carlito"/>
          <w:color w:val="233440"/>
          <w:sz w:val="20"/>
        </w:rPr>
        <w:t>Medio día habilitado y segmentos permitidos.</w:t>
      </w:r>
    </w:p>
    <w:p>
      <w:pPr>
        <w:pStyle w:val="ListBullet"/>
        <w:spacing w:after="60"/>
      </w:pPr>
      <w:r>
        <w:rPr>
          <w:rFonts w:ascii="Carlito" w:hAnsi="Carlito"/>
          <w:color w:val="233440"/>
          <w:sz w:val="20"/>
        </w:rPr>
        <w:t>Anticipación mínima/máxima; retroactivas.</w:t>
      </w:r>
    </w:p>
    <w:p>
      <w:pPr>
        <w:pStyle w:val="ListBullet"/>
        <w:spacing w:after="60"/>
      </w:pPr>
      <w:r>
        <w:rPr>
          <w:rFonts w:ascii="Carlito" w:hAnsi="Carlito"/>
          <w:color w:val="233440"/>
          <w:sz w:val="20"/>
        </w:rPr>
        <w:t>Duración mínima/máxima; máximo anual.</w:t>
      </w:r>
    </w:p>
    <w:p>
      <w:pPr>
        <w:pStyle w:val="ListBullet"/>
        <w:spacing w:after="60"/>
      </w:pPr>
      <w:r>
        <w:rPr>
          <w:rFonts w:ascii="Carlito" w:hAnsi="Carlito"/>
          <w:color w:val="233440"/>
          <w:sz w:val="20"/>
        </w:rPr>
        <w:t>Solapamientos: bloquear/advertir/permitir y estados considerados.</w:t>
      </w:r>
    </w:p>
    <w:p>
      <w:pPr>
        <w:pStyle w:val="ListBullet"/>
        <w:spacing w:after="60"/>
      </w:pPr>
      <w:r>
        <w:rPr>
          <w:rFonts w:ascii="Carlito" w:hAnsi="Carlito"/>
          <w:color w:val="233440"/>
          <w:sz w:val="20"/>
        </w:rPr>
        <w:t>Adjunto: obligatorio/opcional; a partir de N días; formatos y tamaño.</w:t>
      </w:r>
    </w:p>
    <w:p>
      <w:pPr>
        <w:pStyle w:val="ListBullet"/>
        <w:spacing w:after="60"/>
      </w:pPr>
      <w:r>
        <w:rPr>
          <w:rFonts w:ascii="Carlito" w:hAnsi="Carlito"/>
          <w:color w:val="233440"/>
          <w:sz w:val="20"/>
        </w:rPr>
        <w:t>Aprobadores, niveles y escalamiento.</w:t>
      </w:r>
    </w:p>
    <w:p>
      <w:pPr>
        <w:pStyle w:val="ListBullet"/>
        <w:spacing w:after="60"/>
      </w:pPr>
      <w:r>
        <w:rPr>
          <w:rFonts w:ascii="Carlito" w:hAnsi="Carlito"/>
          <w:color w:val="233440"/>
          <w:sz w:val="20"/>
        </w:rPr>
        <w:t>Cancelación: ventana y devolución.</w:t>
      </w:r>
    </w:p>
    <w:p>
      <w:pPr>
        <w:pStyle w:val="ListBullet"/>
        <w:spacing w:after="60"/>
      </w:pPr>
      <w:r>
        <w:rPr>
          <w:rFonts w:ascii="Carlito" w:hAnsi="Carlito"/>
          <w:color w:val="233440"/>
          <w:sz w:val="20"/>
        </w:rPr>
        <w:t>Revocación: quién y qué efecto en saldo.</w:t>
      </w:r>
    </w:p>
    <w:p>
      <w:pPr>
        <w:pStyle w:val="ListBullet"/>
        <w:spacing w:after="60"/>
      </w:pPr>
      <w:r>
        <w:rPr>
          <w:rFonts w:ascii="Carlito" w:hAnsi="Carlito"/>
          <w:color w:val="233440"/>
          <w:sz w:val="20"/>
        </w:rPr>
        <w:t>Capacidad simultánea del equipo.</w:t>
      </w:r>
    </w:p>
    <w:p>
      <w:pPr>
        <w:pStyle w:val="ListBullet"/>
        <w:spacing w:after="60"/>
      </w:pPr>
      <w:r>
        <w:rPr>
          <w:rFonts w:ascii="Carlito" w:hAnsi="Carlito"/>
          <w:color w:val="233440"/>
          <w:sz w:val="20"/>
        </w:rPr>
        <w:t>Carry-over, vencimiento y período de gracia.</w:t>
      </w:r>
    </w:p>
    <w:p>
      <w:pPr>
        <w:pStyle w:val="ListBullet"/>
        <w:spacing w:after="60"/>
      </w:pPr>
      <w:r>
        <w:rPr>
          <w:rFonts w:ascii="Carlito" w:hAnsi="Carlito"/>
          <w:color w:val="233440"/>
          <w:sz w:val="20"/>
        </w:rPr>
        <w:t>Visibilidad en calendario y privacidad.</w:t>
      </w:r>
    </w:p>
    <w:tbl>
      <w:tblPr>
        <w:tblW w:type="auto" w:w="0"/>
        <w:jc w:val="center"/>
        <w:tblLook w:firstColumn="1" w:firstRow="1" w:lastColumn="0" w:lastRow="0" w:noHBand="0" w:noVBand="1" w:val="04A0"/>
      </w:tblPr>
      <w:tblGrid>
        <w:gridCol w:w="10166"/>
      </w:tblGrid>
      <w:tr>
        <w:tc>
          <w:tcPr>
            <w:tcW w:type="dxa" w:w="10166"/>
            <w:shd w:fill="EAF5EE"/>
            <w:tcMar>
              <w:top w:w="130" w:type="dxa"/>
              <w:start w:w="160" w:type="dxa"/>
              <w:bottom w:w="130" w:type="dxa"/>
              <w:end w:w="160" w:type="dxa"/>
            </w:tcMar>
          </w:tcPr>
          <w:p>
            <w:r>
              <w:rPr>
                <w:rFonts w:ascii="Carlito" w:hAnsi="Carlito"/>
                <w:b/>
                <w:color w:val="294C60"/>
                <w:sz w:val="21"/>
              </w:rPr>
              <w:t>Resultado esperado del relevamiento</w:t>
              <w:br/>
            </w:r>
            <w:r>
              <w:rPr>
                <w:rFonts w:ascii="Carlito" w:hAnsi="Carlito"/>
                <w:color w:val="233440"/>
                <w:sz w:val="20"/>
              </w:rPr>
              <w:t>Una vez completado el Anexo B para cada tipo de licencia y definida la estructura organizacional real, el equipo de desarrollo puede transformar este documento en historias de usuario, contratos API, esquema físico de base de datos y prototipos de UI sin ambigüedades críticas.</w:t>
            </w:r>
          </w:p>
        </w:tc>
      </w:tr>
    </w:tbl>
    <w:p>
      <w:pPr>
        <w:spacing w:after="0"/>
      </w:pPr>
    </w:p>
    <w:sectPr w:rsidR="00FC693F" w:rsidRPr="0006063C" w:rsidSect="00034616">
      <w:headerReference w:type="default" r:id="rId9"/>
      <w:footerReference w:type="default" r:id="rId10"/>
      <w:pgSz w:w="12240" w:h="15840"/>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360"/>
      <w:gridCol w:w="3360"/>
      <w:gridCol w:w="3360"/>
    </w:tblGrid>
    <w:tr>
      <w:tc>
        <w:tcPr>
          <w:tcW w:type="dxa" w:w="3360"/>
          <w:tcMar>
            <w:top w:w="0" w:type="dxa"/>
            <w:start w:w="0" w:type="dxa"/>
            <w:bottom w:w="0" w:type="dxa"/>
            <w:end w:w="0" w:type="dxa"/>
          </w:tcMar>
        </w:tcPr>
        <w:p>
          <w:r>
            <w:rPr>
              <w:rFonts w:ascii="Carlito" w:hAnsi="Carlito"/>
              <w:color w:val="5A6973"/>
              <w:sz w:val="15"/>
            </w:rPr>
            <w:t>Arquitectura y Alcance</w:t>
          </w:r>
        </w:p>
      </w:tc>
      <w:tc>
        <w:tcPr>
          <w:tcW w:type="dxa" w:w="3360"/>
          <w:tcMar>
            <w:top w:w="0" w:type="dxa"/>
            <w:start w:w="0" w:type="dxa"/>
            <w:bottom w:w="0" w:type="dxa"/>
            <w:end w:w="0" w:type="dxa"/>
          </w:tcMar>
        </w:tcPr>
        <w:p>
          <w:pPr>
            <w:jc w:val="center"/>
          </w:pPr>
          <w:r>
            <w:rPr>
              <w:rFonts w:ascii="Carlito" w:hAnsi="Carlito"/>
              <w:color w:val="5A6973"/>
              <w:sz w:val="15"/>
            </w:rPr>
            <w:t>v1.0 · 08/09/2026</w:t>
          </w:r>
        </w:p>
      </w:tc>
      <w:tc>
        <w:tcPr>
          <w:tcW w:type="dxa" w:w="3360"/>
          <w:tcMar>
            <w:top w:w="0" w:type="dxa"/>
            <w:start w:w="0" w:type="dxa"/>
            <w:bottom w:w="0" w:type="dxa"/>
            <w:end w:w="0" w:type="dxa"/>
          </w:tcMar>
        </w:tcPr>
        <w:p>
          <w:pPr>
            <w:jc w:val="right"/>
          </w:pPr>
          <w:r>
            <w:rPr>
              <w:rFonts w:ascii="Carlito" w:hAnsi="Carlito"/>
              <w:color w:val="5A6973"/>
              <w:sz w:val="15"/>
            </w:rPr>
            <w:t xml:space="preserve">Página </w:t>
          </w:r>
          <w: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b/>
        <w:color w:val="5A6973"/>
        <w:sz w:val="15"/>
      </w:rPr>
      <w:t>SISTEMA DE SOLICITUD Y GESTIÓN DE LICENCIAS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rlito" w:hAnsi="Carli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b/>
      <w:bCs/>
      <w:color w:val="294C6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rlito" w:hAnsi="Carlito"/>
      <w:b/>
      <w:bCs/>
      <w:color w:val="294C60"/>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rlito" w:hAnsi="Carlito"/>
      <w:b/>
      <w:bCs/>
      <w:color w:val="54748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Carlito" w:hAnsi="Carlito"/>
      <w:b/>
      <w:color w:val="294C6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Carlito" w:hAnsi="Carlito"/>
      <w:color w:val="5A69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dotnet.microsoft.com/en-us/platform/support/policy" TargetMode="External"/><Relationship Id="rId16" Type="http://schemas.openxmlformats.org/officeDocument/2006/relationships/hyperlink" Target="https://learn.microsoft.com/en-us/entra/msidweb/getting-started/quickstart-webapp" TargetMode="External"/><Relationship Id="rId17" Type="http://schemas.openxmlformats.org/officeDocument/2006/relationships/hyperlink" Target="https://learn.microsoft.com/en-us/graph/api/resources/sharepoint?view=graph-rest-1.0" TargetMode="External"/><Relationship Id="rId18" Type="http://schemas.openxmlformats.org/officeDocument/2006/relationships/hyperlink" Target="https://learn.microsoft.com/en-us/graph/api/group-list-members?view=graph-rest-1.0" TargetMode="External"/><Relationship Id="rId19" Type="http://schemas.openxmlformats.org/officeDocument/2006/relationships/hyperlink" Target="https://learn.microsoft.com/en-us/azure/storage/blobs/secure-blobs" TargetMode="External"/><Relationship Id="rId20" Type="http://schemas.openxmlformats.org/officeDocument/2006/relationships/hyperlink" Target="https://learn.microsoft.com/en-us/graph/permissions-selected-overview" TargetMode="External"/><Relationship Id="rId21" Type="http://schemas.openxmlformats.org/officeDocument/2006/relationships/hyperlink" Target="https://learn.microsoft.com/en-us/graph/api/listitem-delta?view=graph-rest-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Alcance - Sistema de Solicitud y Gestión de Licencias</dc:title>
  <dc:subject>Aplicación web independiente integrada con Microsoft Entra ID y SharePoint/Microsoft Graph</dc:subject>
  <dc:creator>Propuesta de arquitectura de software</dc:creator>
  <cp:keywords>licencias, vacaciones, arquitectura, Entra ID, SharePoint, Microsoft Graph, PostgreSQL, PWA</cp:keywords>
  <dc:description>generated by python-docx</dc:description>
  <cp:lastModifiedBy/>
  <cp:revision>1</cp:revision>
  <dcterms:created xsi:type="dcterms:W3CDTF">2013-12-23T23:15:00Z</dcterms:created>
  <dcterms:modified xsi:type="dcterms:W3CDTF">2013-12-23T23:15:00Z</dcterms:modified>
  <cp:category/>
</cp:coreProperties>
</file>