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1F3864"/>
          <w:sz w:val="56"/>
          <w:szCs w:val="56"/>
        </w:rPr>
        <w:t xml:space="preserve">ARGOS / OREN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Relatório técnico-científico consolidado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Triagem assistida de lesões focais hepáticas em ressonância magnética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Histórico integral de experimentos, resultados, decisões e justificativas</w:t>
      </w:r>
    </w:p>
    <w:p>
      <w:pPr>
        <w:spacing w:after="60"/>
        <w:jc w:val="center"/>
      </w:pPr>
      <w:r>
        <w:rPr>
          <w:sz w:val="20"/>
          <w:szCs w:val="20"/>
        </w:rPr>
        <w:t xml:space="preserve">Universidade Estadual de Maringá · GETS · Hospital Universitário</w:t>
      </w:r>
    </w:p>
    <w:p>
      <w:pPr>
        <w:spacing w:after="60"/>
        <w:jc w:val="center"/>
      </w:pPr>
      <w:r>
        <w:rPr>
          <w:sz w:val="20"/>
          <w:szCs w:val="20"/>
        </w:rPr>
        <w:t xml:space="preserve">5 de agosto de 2026</w:t>
      </w:r>
    </w:p>
    <w:p>
      <w:pPr>
        <w:spacing w:after="800"/>
        <w:jc w:val="center"/>
      </w:pPr>
      <w:r>
        <w:rPr>
          <w:color w:val="666666"/>
          <w:sz w:val="19"/>
          <w:szCs w:val="19"/>
        </w:rPr>
        <w:t xml:space="preserve">Base documental: 185 documentos técnicos versionados · 1.450 testes automatizados</w:t>
      </w:r>
    </w:p>
    <w:p>
      <w:pPr>
        <w:pBdr>
          <w:top w:val="single" w:color="BF8F00" w:sz="8"/>
          <w:bottom w:val="single" w:color="BF8F00" w:sz="8"/>
          <w:left w:val="single" w:color="BF8F00" w:sz="8"/>
          <w:right w:val="single" w:color="BF8F00" w:sz="8"/>
        </w:pBdr>
        <w:shd w:fill="FFF2CC" w:val="clear"/>
        <w:spacing w:after="100" w:before="200"/>
      </w:pPr>
      <w:r>
        <w:rPr>
          <w:b/>
          <w:bCs/>
          <w:color w:val="7F6000"/>
          <w:sz w:val="19"/>
          <w:szCs w:val="19"/>
        </w:rPr>
        <w:t xml:space="preserve">  AVISO — Este documento descreve pesquisa. Nenhum resultado aqui constitui diagnóstico, laudo médico ou desempenho clínico comprovado. Todos os artefatos do sistema carregam clinical_use_allowed = false e exigem revisão humana obrigatória.  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Resumo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O ARGOS (atualmente também designado OREN) é um sistema de triagem assistida por computador para detecção de lesões focais hepáticas em exames de ressonância magnética multifásica, desenvolvido inteiramente sobre datasets públicos de pesquisa e executado em hardware de consumo (NVIDIA RTX 4060 Laptop, 8 GB de VRAM). O sistema recebe uma exportação DICOM bruta, resolve automaticamente as fases dinâmicas, segmenta o fígado, gera painéis enriquecidos, classifica o exame como positivo ou negativo para a patologia-alvo (carcinoma hepatocelular), identifica a variação mais provável e produz um modelo tridimensional auditável — em aproximadamente 115 a 130 segundos por exame.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A meta técnica pré-especificada foi mantida imutável durante todo o desenvolvimento: </w:t>
      </w:r>
      <w:r>
        <w:rPr>
          <w:b/>
          <w:bCs/>
          <w:sz w:val="21"/>
          <w:szCs w:val="21"/>
        </w:rPr>
        <w:t xml:space="preserve">sensibilidade ≥ 75%, especificidade ≥ 75%, tempo end-to-end ≤ 180 segundos, com falhas técnicas e resultados inconclusivos contabilizados como erro</w:t>
      </w:r>
      <w:r>
        <w:rPr>
          <w:b w:val="false"/>
          <w:bCs w:val="false"/>
          <w:sz w:val="21"/>
          <w:szCs w:val="21"/>
        </w:rPr>
        <w:t xml:space="preserve">. Ao longo de 185 documentos técnicos e aproximadamente vinte e cinco configurações distintas testadas, </w:t>
      </w:r>
      <w:r>
        <w:rPr>
          <w:b/>
          <w:bCs/>
          <w:sz w:val="21"/>
          <w:szCs w:val="21"/>
        </w:rPr>
        <w:t xml:space="preserve">apenas uma configuração atingiu a meta binária no agregado</w:t>
      </w:r>
      <w:r>
        <w:rPr>
          <w:b w:val="false"/>
          <w:bCs w:val="false"/>
          <w:sz w:val="21"/>
          <w:szCs w:val="21"/>
        </w:rPr>
        <w:t xml:space="preserve">: o classificador visual supervisionado sobre embeddings congelados do MedSigLIP-448, que obteve </w:t>
      </w:r>
      <w:r>
        <w:rPr>
          <w:b/>
          <w:bCs/>
          <w:sz w:val="21"/>
          <w:szCs w:val="21"/>
        </w:rPr>
        <w:t xml:space="preserve">75,91% de sensibilidade e 76,11% de especificidade</w:t>
      </w:r>
      <w:r>
        <w:rPr>
          <w:b w:val="false"/>
          <w:bCs w:val="false"/>
          <w:sz w:val="21"/>
          <w:szCs w:val="21"/>
        </w:rPr>
        <w:t xml:space="preserve"> (AUC 0,853) em validação cruzada aninhada sobre 467 exames de três coortes.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O segundo objetivo — identificar qual das quatro variações (carcinoma hepatocelular, hiperplasia nodular focal, hemangioma e cisto hepático) está presente com 75% de acurácia — </w:t>
      </w:r>
      <w:r>
        <w:rPr>
          <w:b/>
          <w:bCs/>
          <w:sz w:val="21"/>
          <w:szCs w:val="21"/>
        </w:rPr>
        <w:t xml:space="preserve">não foi atingido, e demonstrou-se aritmeticamente inalcançável com os dados atuais</w:t>
      </w:r>
      <w:r>
        <w:rPr>
          <w:b w:val="false"/>
          <w:bCs w:val="false"/>
          <w:sz w:val="21"/>
          <w:szCs w:val="21"/>
        </w:rPr>
        <w:t xml:space="preserve">. A melhor medição honesta é de 64,81% de acurácia balanceada.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O achado científico mais consequente do projeto não é uma métrica, mas um diagnóstico de causa: </w:t>
      </w:r>
      <w:r>
        <w:rPr>
          <w:b/>
          <w:bCs/>
          <w:sz w:val="21"/>
          <w:szCs w:val="21"/>
        </w:rPr>
        <w:t xml:space="preserve">o gargalo dominante não é discriminação biológica entre lesões, e sim heterogeneidade de domínio entre instituições</w:t>
      </w:r>
      <w:r>
        <w:rPr>
          <w:b w:val="false"/>
          <w:bCs w:val="false"/>
          <w:sz w:val="21"/>
          <w:szCs w:val="21"/>
        </w:rPr>
        <w:t xml:space="preserve">. Uma ablação controlada demonstrou que aproximadamente 85% do ganho da melhor configuração vem de separação de domínio e apenas 15% de granularidade de rótulo clínico. Sete tentativas independentes de contornar esse limite — por geometria, supervisão aprendida, aprendizado de múltiplas instâncias, novas modalidades, cobertura axial integral, localização espacial e fusão tolerante a sinal ausente — falharam de forma consistente contra o mesmo obstáculo.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Conclui-se que o avanço material do projeto depende de uma coorte real adicional, de instituição distinta e com rótulo fino de subtipo, e não de nova engenharia de atributos, arquitetura ou limiar sobre os dados atualmente disponíveis.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1. Introdução e objetivos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1.1 Contexto clínico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carcinoma hepatocelular é a neoplasia primária mais frequente do fígado e seu prognóstico depende fortemente da detecção precoce. A ressonância magnética multifásica com contraste é uma das modalidades de referência para caracterização de lesões focais hepáticas, mas a interpretação exige distinguir a patologia-alvo de um conjunto de achados benignos que a mimetizam — hiperplasia nodular focal, hemangioma, cisto hepático, além de variantes vasculares, pseudolesões e artefatos.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Essa distinção é precisamente o problema difícil. Um sistema que apenas detecta "alguma alteração" produz sensibilidade alta e especificidade inaceitável, porque o fígado normal contém estruturas vasculares e variações de realce que se assemelham a lesões em fases isoladas. O projeto ARGOS foi organizado desde o início em torno dessa dificuldade.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1.2 Metas pré-especificadas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meta técnica foi fixada no início do desenvolvimento e nunca foi alterada em função de resultados observados — princípio metodológico central deste projeto:</w:t>
      </w:r>
    </w:p>
    <w:p>
      <w:pPr>
        <w:shd w:fill="F2F2F2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sensibilidade      &gt;= 75%</w:t>
      </w:r>
      <w:r>
        <w:rPr>
          <w:rFonts w:ascii="Consolas" w:cs="Consolas" w:eastAsia="Consolas" w:hAnsi="Consolas"/>
          <w:sz w:val="17"/>
          <w:szCs w:val="17"/>
        </w:rPr>
        <w:br/>
        <w:t xml:space="preserve">especificidade     &gt;= 75%</w:t>
      </w:r>
      <w:r>
        <w:rPr>
          <w:rFonts w:ascii="Consolas" w:cs="Consolas" w:eastAsia="Consolas" w:hAnsi="Consolas"/>
          <w:sz w:val="17"/>
          <w:szCs w:val="17"/>
        </w:rPr>
        <w:br/>
        <w:t xml:space="preserve">tempo end-to-end   &lt;= 180 segundos por exame</w:t>
      </w:r>
      <w:r>
        <w:rPr>
          <w:rFonts w:ascii="Consolas" w:cs="Consolas" w:eastAsia="Consolas" w:hAnsi="Consolas"/>
          <w:sz w:val="17"/>
          <w:szCs w:val="17"/>
        </w:rPr>
        <w:br/>
        <w:t xml:space="preserve">falhas técnicas e INCONCLUSIVA contam como ERRO</w:t>
      </w:r>
      <w:r>
        <w:rPr>
          <w:rFonts w:ascii="Consolas" w:cs="Consolas" w:eastAsia="Consolas" w:hAnsi="Consolas"/>
          <w:sz w:val="17"/>
          <w:szCs w:val="17"/>
        </w:rPr>
        <w:br/>
        <w:t xml:space="preserve">zero vazamento de ground truth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Posteriormente foi acrescentada uma segunda meta, proposta como missão de orientação: identificar corretamente qual das quatro variações está presente, em pelo menos 75% dos casos.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1.3 Princípios metodológicos adotados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Todo o histórico do projeto está subordinado a um conjunto de regras que valem mais que qualquer resultado individual. Elas são a razão pela qual este relatório contém muito mais rejeições do que aprovações: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Divisão sempre por paciente, nunca por painel, corte ou candidato — impedindo que imagens do mesmo paciente apareçam simultaneamente em treino e teste.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Seleção de hiperparâmetros, agregação e limiar exclusivamente dentro dos folds internos (nested cross-validation). O limiar jamais é escolhido sobre o conjunto no qual a métrica é reportada.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Gates numéricos pré-especificados por escrito, antes de qualquer execução. Um gate perdido por pouco continua perdido — não se afrouxa critério após ver o número.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Falhas técnicas e resultados inconclusivos contam como erro. Não é permitido remover casos difíceis da métrica sob o argumento de encaminhamento à revisão humana.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Execução label-blind: o gerador de imagens, o encoder e a inferência nunca acessam rótulos ou máscaras de lesão. Máscaras públicas de lesão podem supervisionar treino, jamais entrar como entrada na inferência.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Congelamento por assinatura criptográfica: protocolos, splits, predições e avaliações são assinados em SHA-256, tornando impossível alterar silenciosamente um resultado já registrado.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Holdout aberto uma única vez. Depois de consumido, um conjunto deixa permanentemente de ser validação externa e passa a ser desenvolvimento retrospectivo.</w:t>
      </w:r>
    </w:p>
    <w:p>
      <w:pPr>
        <w:pBdr>
          <w:left w:val="single" w:color="1F3864" w:sz="18" w:space="12"/>
        </w:pBdr>
        <w:spacing w:after="160" w:before="140"/>
        <w:ind w:left="480" w:right="240"/>
      </w:pPr>
      <w:r>
        <w:rPr>
          <w:i/>
          <w:iCs/>
          <w:sz w:val="21"/>
          <w:szCs w:val="21"/>
        </w:rPr>
        <w:t xml:space="preserve">Registrar como atingido o teto observado das abordagens atuais sem treino. — docs/46, ao encerrar a linha de fusão v11 que ficou a um único verdadeiro positivo da meta.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2. Materiais e métodos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2.1 Coortes e procedência dos dados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Nenhum paciente foi recrutado e nenhuma imagem foi obtida diretamente de serviço clínico. Todo o dado utilizado provém de datasets públicos de pesquisa já publicados e liberados por seus autores originais, aos quais cabe a responsabilidade pela aprovação ética e pelo consentimento dos sujeitos.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200"/>
        <w:gridCol w:w="2726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Coorte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Composição</w:t>
            </w:r>
          </w:p>
        </w:tc>
        <w:tc>
          <w:tcPr>
            <w:tcW w:type="dxa" w:w="27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 no projeto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OpenSwissHCC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Zenodo (MD5 verificado)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132 sujeitos: 63 HCC+, 69 HCC−; DCE-MRI multifásica, T2, DWI, ADC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Coorte principal de desenvolvimento até a Etapa C; holdout de 44 casos consumido em docs/91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LLD-MMRI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Hugging Face (wanglab/LLD-MMRI-MedSAM2)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335 exames com rótulo fino: 157 HCC, 79 hemangiomas, 53 cistos, 46 FNH</w:t>
            </w:r>
          </w:p>
        </w:tc>
        <w:tc>
          <w:tcPr>
            <w:tcW w:type="dxa" w:w="27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Única coorte com subtipo clínico documentado; base de toda a linha de identificação de variação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LiverHccSeg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Zenodo 8179129, v1.1, CC BY 4.0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Braço positivo externo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 externa de sensibilidade (docs/84)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CHAOS MRI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Zenodo 3431873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 casos com máscara hepática anotada por humano</w:t>
            </w:r>
          </w:p>
        </w:tc>
        <w:tc>
          <w:tcPr>
            <w:tcW w:type="dxa" w:w="27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 externa de especificidade (docs/87) e referência humana de segmentação (docs/176)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TCGA-LIHC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TCIA / GDC (NIH)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11–12 casos positivos</w:t>
            </w:r>
          </w:p>
        </w:tc>
        <w:tc>
          <w:tcPr>
            <w:tcW w:type="dxa" w:w="27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Estresse inicial (docs/21) e primeiro sinal externo real do classificador congelado (docs/168)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A composição por múltiplas fontes foi uma decisão registrada em docs/80, que também nomeia a alternativa considerada e descartada (Duke Liver Dataset, por não resolver a lacuna de ressonância multifásica). Essa mesma composição é, como se demonstrará, a causa raiz do confundimento de domínio que domina o teto de desempenho do sistema.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2.2 Restrições de hardware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Todo o desenvolvimento ocorreu em uma única estação: NVIDIA RTX 4060 Laptop com 8 GB de VRAM, aproximadamente 32 GB de RAM, Windows 11. Essa restrição não é um detalhe operacional — ela determinou decisões arquiteturais fundamentais: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Treinamento completo do MedGemma foi descartado desde o planejamento.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QLoRA do MedGemma foi explicitamente adiada para hardware de pelo menos 16 GB.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MedSigLIP e MedGemma nunca podem ocupar a GPU simultaneamente — o encoder é descarregado antes do gerador ser carregado.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 primeira geração de modelos usa obrigatoriamente embeddings congelados e classificadores leves.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Todo processamento longo exige checkpoint atômico e retomada após interrupção.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2.3 Desenho estatístico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avaliação primária de todos os candidatos supervisionados é validação cruzada aninhada agrupada por paciente, com 5 folds externos e 4 internos. Os folds foram congelados e assinados antes de qualquer extração supervisionada. Cada caso recebe exatamente uma predição out-of-fold, produzida por um modelo que nunca viu aquele paciente.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As métricas são reportadas com intervalo de confiança de 95% de Wilson e bootstrap por paciente com 2.000 reamostragens. Complementarmente foram executadas repetições de validação cruzada estratificada com sementes congeladas (tipicamente 50 repetições) e leave-one-dataset-out, este último sendo o teste que revelou a instabilidade decisiva do projeto.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3. Como o MedSigLIP foi utilizado e treinado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Esta seção responde em detalhe à questão de como o componente central do sistema foi construído, porque ela é frequentemente mal compreendida: o MedSigLIP, na configuração que está em produção, não foi treinado — ele foi utilizado como extrator de características congelado, e o que foi treinado é uma cabeça de classificação linear sobre suas saídas.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3.1 Por que MedSigLIP, e não outro encoder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escolha está registrada em docs/20, no início do projeto. O MedGemma 1.5 4B generativo, testado exaustivamente, não separou o par positivo/negativo em nenhum dos controles aplicados — variação de prompt, formato de resposta, realce por spotlight, cortes adjacentes. A documentação oficial do Google recomenda o MedSigLIP para classificação visual e recuperação sem geração de texto.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É necessário registrar honestamente o limite dessa justificativa: </w:t>
      </w:r>
      <w:r>
        <w:rPr>
          <w:b/>
          <w:bCs/>
          <w:sz w:val="21"/>
          <w:szCs w:val="21"/>
        </w:rPr>
        <w:t xml:space="preserve">nunca foi realizada uma comparação sistemática contra outros encoders candidatos</w:t>
      </w:r>
      <w:r>
        <w:rPr>
          <w:b w:val="false"/>
          <w:bCs w:val="false"/>
          <w:sz w:val="21"/>
          <w:szCs w:val="21"/>
        </w:rPr>
        <w:t xml:space="preserve"> (BiomedCLIP, DINOv2, ResNet médico ou equivalentes). A razão documentada é o abandono da abordagem generativa, não a vitória do MedSigLIP em uma disputa controlada.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3.2 Contrato do extrator congelado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extrator de embeddings foi implementado na Fase 4 do plano (docs/120, docs/121) com um contrato imutável, verificado por hash a cada execução:</w:t>
      </w:r>
    </w:p>
    <w:p>
      <w:pPr>
        <w:shd w:fill="F2F2F2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modelo:               google/medsiglip-448</w:t>
      </w:r>
      <w:r>
        <w:rPr>
          <w:rFonts w:ascii="Consolas" w:cs="Consolas" w:eastAsia="Consolas" w:hAnsi="Consolas"/>
          <w:sz w:val="17"/>
          <w:szCs w:val="17"/>
        </w:rPr>
        <w:br/>
        <w:t xml:space="preserve">revision:             9cea28a1a1195f665105faa6e8544c112fd960a4</w:t>
      </w:r>
      <w:r>
        <w:rPr>
          <w:rFonts w:ascii="Consolas" w:cs="Consolas" w:eastAsia="Consolas" w:hAnsi="Consolas"/>
          <w:sz w:val="17"/>
          <w:szCs w:val="17"/>
        </w:rPr>
        <w:br/>
        <w:t xml:space="preserve">entrada:              448 x 448 RGB</w:t>
      </w:r>
      <w:r>
        <w:rPr>
          <w:rFonts w:ascii="Consolas" w:cs="Consolas" w:eastAsia="Consolas" w:hAnsi="Consolas"/>
          <w:sz w:val="17"/>
          <w:szCs w:val="17"/>
        </w:rPr>
        <w:br/>
        <w:t xml:space="preserve">pooling:              vision_pooler_output</w:t>
      </w:r>
      <w:r>
        <w:rPr>
          <w:rFonts w:ascii="Consolas" w:cs="Consolas" w:eastAsia="Consolas" w:hAnsi="Consolas"/>
          <w:sz w:val="17"/>
          <w:szCs w:val="17"/>
        </w:rPr>
        <w:br/>
        <w:t xml:space="preserve">dimensão do vetor:    1152</w:t>
      </w:r>
      <w:r>
        <w:rPr>
          <w:rFonts w:ascii="Consolas" w:cs="Consolas" w:eastAsia="Consolas" w:hAnsi="Consolas"/>
          <w:sz w:val="17"/>
          <w:szCs w:val="17"/>
        </w:rPr>
        <w:br/>
        <w:t xml:space="preserve">normalização:         L2</w:t>
      </w:r>
      <w:r>
        <w:rPr>
          <w:rFonts w:ascii="Consolas" w:cs="Consolas" w:eastAsia="Consolas" w:hAnsi="Consolas"/>
          <w:sz w:val="17"/>
          <w:szCs w:val="17"/>
        </w:rPr>
        <w:br/>
        <w:t xml:space="preserve">saída:                float32</w:t>
      </w:r>
      <w:r>
        <w:rPr>
          <w:rFonts w:ascii="Consolas" w:cs="Consolas" w:eastAsia="Consolas" w:hAnsi="Consolas"/>
          <w:sz w:val="17"/>
          <w:szCs w:val="17"/>
        </w:rPr>
        <w:br/>
        <w:t xml:space="preserve">inferência interna:   float16 / CUDA</w:t>
      </w:r>
      <w:r>
        <w:rPr>
          <w:rFonts w:ascii="Consolas" w:cs="Consolas" w:eastAsia="Consolas" w:hAnsi="Consolas"/>
          <w:sz w:val="17"/>
          <w:szCs w:val="17"/>
        </w:rPr>
        <w:br/>
        <w:t xml:space="preserve">batch inicial:        4</w:t>
      </w:r>
      <w:r>
        <w:rPr>
          <w:rFonts w:ascii="Consolas" w:cs="Consolas" w:eastAsia="Consolas" w:hAnsi="Consolas"/>
          <w:sz w:val="17"/>
          <w:szCs w:val="17"/>
        </w:rPr>
        <w:br/>
        <w:t xml:space="preserve">downloads:            desabilitados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extrator recebe exclusivamente registros label-blind; valida o hash de cada imagem e a ausência de metadados PNG; grava um arquivo .npy por painel de forma atômica; sincroniza o checkpoint a cada lote; retoma execuções interrompidas; rejeita NaN, infinitos, dimensão ou norma divergentes; registra revisão e hashes do snapshot do modelo; descarrega o modelo e libera o cache CUDA ao terminar; e nunca abre rótulos ou máscaras. O pico de VRAM foi mantido abaixo de 7,5 GB.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3.3 A representação de entrada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que o encoder recebe não é um corte isolado nem o volume inteiro, mas um painel enriquecido pelo fígado (liver-enriched), construído deterministicamente a partir da segmentação automática: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 segmentação hepática automática (TotalSegmentator, tarefa total_mr) define a região de interesse.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As três fases dinâmicas — arterial, portal/venosa e tardia — são harmonizadas na grade da fase venosa por registro, com gate anatômico exigindo Dice ≥ 0,80 entre as fases registradas.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As três fases são compostas nos canais R, G e B de uma imagem RGB. Isso é fisicamente significativo: um voxel que realça na arterial e sofre washout na tardia produz uma assinatura de cor distinta de um vaso, que permanece brilhante em todas as fases.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São gerados 2 ou 3 painéis por exame, com janelamento calculado sobre o fígado inteiro.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Nenhum contorno de lesão, texto clínico, marcação ou PHI é desenhado na imagem enviada ao modelo.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3.4 O que efetivamente foi treinado — a cabeça de classificação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Sobre os embeddings congelados de 1.152 dimensões foi treinada uma regressão logística com regularização L2 e balanceamento de classes. Os detalhes do procedimento: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Padronização (StandardScaler) ajustada exclusivamente sobre os painéis dos folds de treino.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Grade de regularização C ∈ {0,01; 0,1; 1,0}.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Agregação por exame testada entre mean, max e top2_mean — porque um exame produz múltiplos painéis e é preciso uma regra para consolidá-los em uma decisão.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Modelo, agregação e limiar selecionados exclusivamente por validação cruzada interna.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Predição do paciente externo produzida sem qualquer uso do seu rótulo.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Um único score out-of-fold por caso; o arquivo de predições não contém ground truth.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Falhas técnicas contabilizadas como falso negativo ou falso positivo conforme o rótulo, e apenas no avaliador.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tempo total de treinamento e seleção dessa cabeça é de aproximadamente 60 segundos — consequência direta de o encoder estar congelado. Esse é o ponto que torna a arquitetura viável em 8 GB de VRAM.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3.5 Tentativas de treinar o encoder — todas rejeitadas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Fase 13 do plano previa fine-tuning parcial caso os embeddings congelados demonstrassem sinal real mas insuficiente. Essa condição foi atingida, e três estágios foram executados sobre os mesmos 467 casos e os mesmos folds externos.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200"/>
        <w:gridCol w:w="2326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Estágio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Sensib.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Especif.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2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 e motivo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Cabeça MLP não linear, encoder congelado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70,45%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69,64%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0,802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não superou a cabeça linear da Fase 5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Último bloco visual liberado integralmente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57,27%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55,47%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0,590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degradou fortemente o sinal pré-treinado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LoRA rank 4 nas projeções Q/V do último bloco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75,00%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70,45%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0,819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PROMOVIDO — recuperou sensibilidade e AUC, mas perdeu especificidade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Referência: cabeça linear congelada (Fase 5)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72,27%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73,28%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0,801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Mantida como candidata de referência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A conclusão metodológica dessa fase é relevante e contraintuitiva: </w:t>
      </w:r>
      <w:r>
        <w:rPr>
          <w:b/>
          <w:bCs/>
          <w:sz w:val="21"/>
          <w:szCs w:val="21"/>
        </w:rPr>
        <w:t xml:space="preserve">ajustar o encoder degradou o resultado</w:t>
      </w:r>
      <w:r>
        <w:rPr>
          <w:b w:val="false"/>
          <w:bCs w:val="false"/>
          <w:sz w:val="21"/>
          <w:szCs w:val="21"/>
        </w:rPr>
        <w:t xml:space="preserve">. O estágio 2, que liberou o último bloco visual completo, produziu AUC de 0,590 — praticamente ruído — a partir de um modelo que congelado entregava 0,801. O LoRA, muito mais conservador, recuperou o patamar mas não superou o congelado nos dois eixos simultaneamente. Isso indica que o conhecimento médico pré-treinado do MedSigLIP é frágil ao ajuste com o volume de dados disponível, e que o caminho de ganho não passa por adaptar o encoder.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3.6 A supervisão multiclasse — o modelo em produção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configuração finalmente promovida a bundle de produção, denominada Etapa C, difere da Fase 5 em um único aspecto: a granularidade do rótulo usado no ajuste. Em vez de treinar um classificador binário, treina-se um classificador multiclasse de seis classes, e a decisão binária é derivada da massa de probabilidade atribuída às classes positivas.</w:t>
      </w:r>
    </w:p>
    <w:p>
      <w:pPr>
        <w:shd w:fill="F2F2F2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classes:      fnh | hcc | hemangioma | hepatic_cyst | negative_unspecified | positive_unspecified</w:t>
      </w:r>
      <w:r>
        <w:rPr>
          <w:rFonts w:ascii="Consolas" w:cs="Consolas" w:eastAsia="Consolas" w:hAnsi="Consolas"/>
          <w:sz w:val="17"/>
          <w:szCs w:val="17"/>
        </w:rPr>
        <w:br/>
        <w:t xml:space="preserve">positivo =    {hcc, positive_unspecified}</w:t>
      </w:r>
      <w:r>
        <w:rPr>
          <w:rFonts w:ascii="Consolas" w:cs="Consolas" w:eastAsia="Consolas" w:hAnsi="Consolas"/>
          <w:sz w:val="17"/>
          <w:szCs w:val="17"/>
        </w:rPr>
        <w:br/>
        <w:t xml:space="preserve">agregação:    top2_mean</w:t>
      </w:r>
      <w:r>
        <w:rPr>
          <w:rFonts w:ascii="Consolas" w:cs="Consolas" w:eastAsia="Consolas" w:hAnsi="Consolas"/>
          <w:sz w:val="17"/>
          <w:szCs w:val="17"/>
        </w:rPr>
        <w:br/>
        <w:t xml:space="preserve">C:            0.01</w:t>
      </w:r>
      <w:r>
        <w:rPr>
          <w:rFonts w:ascii="Consolas" w:cs="Consolas" w:eastAsia="Consolas" w:hAnsi="Consolas"/>
          <w:sz w:val="17"/>
          <w:szCs w:val="17"/>
        </w:rPr>
        <w:br/>
        <w:t xml:space="preserve">limiar:       0.4748805111520148</w:t>
      </w:r>
      <w:r>
        <w:rPr>
          <w:rFonts w:ascii="Consolas" w:cs="Consolas" w:eastAsia="Consolas" w:hAnsi="Consolas"/>
          <w:sz w:val="17"/>
          <w:szCs w:val="17"/>
        </w:rPr>
        <w:br/>
        <w:t xml:space="preserve">casos treino: 467</w:t>
      </w:r>
      <w:r>
        <w:rPr>
          <w:rFonts w:ascii="Consolas" w:cs="Consolas" w:eastAsia="Consolas" w:hAnsi="Consolas"/>
          <w:sz w:val="17"/>
          <w:szCs w:val="17"/>
        </w:rPr>
        <w:br/>
        <w:t xml:space="preserve">splits:       41c15cc14b89ee80... (assinatura congelada)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As classes unspecified existem porque os positivos do OpenSwissHCC não estão documentados como especificamente HCC na fonte protegida. Atribuir-lhes um subtipo seria fabricar informação; recebem, portanto, uma classe explicitamente não especificada.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bundle de produção é assinado: o carregador verifica a assinatura do manifesto e o hash do modelo antes de qualquer inferência, e falha fechado em caso de divergência.</w:t>
      </w:r>
    </w:p>
    <w:p>
      <w:pPr>
        <w:pBdr>
          <w:left w:val="single" w:color="1F3864" w:sz="18" w:space="12"/>
        </w:pBdr>
        <w:spacing w:after="160" w:before="140"/>
        <w:ind w:left="480" w:right="240"/>
      </w:pPr>
      <w:r>
        <w:rPr>
          <w:i/>
          <w:iCs/>
          <w:sz w:val="21"/>
          <w:szCs w:val="21"/>
        </w:rPr>
        <w:t xml:space="preserve">Distinção metodológica crítica: a métrica de seleção por validação cruzada do bundle não é a estimativa de generalização. A generalização honesta do bundle continua sendo o nested-OOF da Etapa C. — docs/123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4. Resultados — histórico integral por era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Esta seção percorre cronologicamente todas as configurações testadas. Para cada uma registra-se o que foi tentado, o resultado quantitativo obtido e o motivo documentado da aprovação ou rejeição. A densidade de rejeições é intencional e metodologicamente saudável.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4.1 Era 1 — MedGemma generativo isolado (docs 17 a 23)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hipótese inicial era que um modelo de linguagem-visão médico generativo poderia classificar diretamente o exame a partir de um painel de imagem e um prompt clínico. Foram testadas oito variações.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Configuração testada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8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 e motivo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JSON compacto livre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fechava JSON válido ou copiava placeholders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falha de contrato, não de clínica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Pontuação fechada A/B/C com quadrado latino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Probabilidades quase uniformes (0,344 / 0,330 / 0,325); especificidade 0/2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escolher limiar aqui esconderia o viés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Rótulo JSON predefinido com prefixo causal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 resolvido; dois negativos preparados classificados POSITIVA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especificidade não atingida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Recorte hepático sem contorno amarelo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Ainda POSITIVA em negativo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o contorno não era a causa do falso positivo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Piloto balanceado, 6 casos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Sensibilidade 100%, especificidade 0%, acurácia 50%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todos os 6 classificados POSITIVA; sem discriminação útil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Spotlight hepático (atenuação fora do fígado)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Positivo e negativo ambos POSITIVA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hipótese não confirmada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Resposta sem JSON (LESION / NO_LESION)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Ambos LESION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o colapso não era efeito do schema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Raciocínio curto, 256 tokens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Ambos FINAL=LESION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Blocos axiais adjacentes (todos os cortes)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os 8 painéis LESION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cobertura não recupera especificidade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Estresse TCGA-LIHC, 12 positivos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12/12 POSITIVA, tempo médio 35,3 s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Sensibilidade 100% descartada como evidência — reforça o colapso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O padrão é inequívoco: o modelo generativo colapsava em POSITIVA independentemente do conteúdo. Registre-se a honestidade metodológica de docs/21, que </w:t>
      </w:r>
      <w:r>
        <w:rPr>
          <w:b/>
          <w:bCs/>
          <w:sz w:val="21"/>
          <w:szCs w:val="21"/>
        </w:rPr>
        <w:t xml:space="preserve">recusou reportar 100% de sensibilidade como resultado</w:t>
      </w:r>
      <w:r>
        <w:rPr>
          <w:b w:val="false"/>
          <w:bCs w:val="false"/>
          <w:sz w:val="21"/>
          <w:szCs w:val="21"/>
        </w:rPr>
        <w:t xml:space="preserve">, identificando corretamente que se tratava de saturação e não de detecção.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Um achado adicional dessa era é diagnóstico e permanece válido: a auditoria de dataset em docs/17 revelou confundimento de protocolo severo — positivos majoritariamente em T1 pós-contraste e negativos em T1 in/out-phase e T2. Um classificador poderia aprender protocolo em vez de patologia. Esse achado antecipa, em forma embrionária, o problema de domínio que dominaria todo o projeto.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4.2 Era 2 — OpenSwissHCC, cobertura e representação (docs 24 a 50)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Estabelecida a coorte OpenSwissHCC com split congelado por inspeção real dos arquivos (desenvolvimento: sujeitos 001–044 e 089–132, 88 casos; holdout lacrado: sujeitos 045–088, 44 casos), iniciou-se uma sequência de tentativas de aumentar cobertura e resolução da representação visual.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900"/>
        <w:gridCol w:w="23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foi tentado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(LOOCV)</w:t>
            </w:r>
          </w:p>
        </w:tc>
        <w:tc>
          <w:tcPr>
            <w:tcW w:type="dxa" w:w="2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prefilled_label sobre 88 painéis uniform_9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 / 0%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sem discriminação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Escolha balanceada A/B/C, quadrado latino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23,1% / 83,7%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MedSigLIP zero-shot como segundo leitor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61,5% / 61,2%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isoladamente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v4+v5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Fusão determinística exploratória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74,4% / 75,5%; apenas 7/50 repetições estáveis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instabilidade estatística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v6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MedSigLIP + fusão sobre volumétrico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59,0% / 59,2%; 0/50 estáveis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v7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Frases clínicas pairwise por painel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56,4% / 57,1%; 0/50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v8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Um corte axial por imagem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40% / 100% (piloto 10)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perdeu 3 de 5 positivos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v9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Multissequência 2×2: T1 venoso, T2, DWI TRACE, ADC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53,85% / 60,42%; AUC 0,565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Localizador 3D como feature única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53,85% / 54,17%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piloto de 10 casos não reproduziu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v11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Fusão MedGemma 0,40 + MedSigLIP 0,40 + localizador 0,20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74,36% / 75,00%; 12/50 estáveis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melhor candidato da era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v12/v13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 3D nativa, até 50 cortes por caso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51,28% / 31,25%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pior que v11</w:t>
            </w:r>
          </w:p>
        </w:tc>
      </w:tr>
    </w:tbl>
    <w:p>
      <w:pPr>
        <w:spacing w:after="160"/>
      </w:pP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Achados diagnósticos desta era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Diluição por escala de tile.</w:t>
      </w:r>
      <w:r>
        <w:rPr>
          <w:b w:val="false"/>
          <w:bCs w:val="false"/>
          <w:sz w:val="21"/>
          <w:szCs w:val="21"/>
        </w:rPr>
        <w:t xml:space="preserve"> A auditoria de docs/31 mediu que um painel de 1536×1152 é reduzido pelo processador para 896×896 com 256 tokens visuais, formando uma grade aproximada de 16×16. Com 12 células por painel, cada corte recebe cerca de 4×5 tokens. A conclusão registrada — </w:t>
      </w:r>
      <w:r>
        <w:rPr>
          <w:b/>
          <w:bCs/>
          <w:sz w:val="21"/>
          <w:szCs w:val="21"/>
        </w:rPr>
        <w:t xml:space="preserve">cobertura volumétrica não equivale a resolução suficiente para lesões pequenas</w:t>
      </w:r>
      <w:r>
        <w:rPr>
          <w:b w:val="false"/>
          <w:bCs w:val="false"/>
          <w:sz w:val="21"/>
          <w:szCs w:val="21"/>
        </w:rPr>
        <w:t xml:space="preserve"> — encerrou a linha de aumentar cobertura.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O teto da v11.</w:t>
      </w:r>
      <w:r>
        <w:rPr>
          <w:b w:val="false"/>
          <w:bCs w:val="false"/>
          <w:sz w:val="21"/>
          <w:szCs w:val="21"/>
        </w:rPr>
        <w:t xml:space="preserve"> A fusão v11 obteve 74,36% de sensibilidade em LOOCV, o que corresponde a 29 de 39 positivos. A meta exigia 30. O projeto ficou literalmente a </w:t>
      </w:r>
      <w:r>
        <w:rPr>
          <w:b/>
          <w:bCs/>
          <w:sz w:val="21"/>
          <w:szCs w:val="21"/>
        </w:rPr>
        <w:t xml:space="preserve">um único verdadeiro positivo</w:t>
      </w:r>
      <w:r>
        <w:rPr>
          <w:b w:val="false"/>
          <w:bCs w:val="false"/>
          <w:sz w:val="21"/>
          <w:szCs w:val="21"/>
        </w:rPr>
        <w:t xml:space="preserve"> da meta, e a decisão registrada foi não reajustar pesos nem limiar sobre os mesmos rótulos — encerrando a linha em vez de forçar o número.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Dimensionalidade não é o gargalo.</w:t>
      </w:r>
      <w:r>
        <w:rPr>
          <w:b w:val="false"/>
          <w:bCs w:val="false"/>
          <w:sz w:val="21"/>
          <w:szCs w:val="21"/>
        </w:rPr>
        <w:t xml:space="preserve"> A v13, com entrada 3D nativa de até 50 cortes, teve desempenho substancialmente pior que a v11, e passou com folga no gate temporal. Isso isolou a conclusão de que o obstáculo é discriminação, não capacidade de processamento.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4.3 Era 3 — Leitores focais e atlas (docs 51 a 79)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Nova família de tentativas, agora com foco em direcionar a atenção do modelo para regiões específicas em vez de apresentar o fígado inteiro.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700"/>
        <w:gridCol w:w="23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Abordagem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v14/v15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 contínuo, pilotos de 32 cortes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56,41% / 60,42%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v16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Leitor focal com stacks e gate humano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48,72% / 43,75%; 0/50 estáveis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v17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Atlas axial com scorer 4B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41,03% / 45,83%; AUC 0,443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AUC abaixo de 0,5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v18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Atlas em blocos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41,03% / 41,67%; AUC 0,427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v19/v20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Atlas com RAG textual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43,59% / 45,83%; AUC 0,414 — e 69,23% / 77,08% em variante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no braço primário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Três versões consecutivas produziram AUC abaixo de 0,5. Isso é mais informativo do que um resultado ruim comum: significa que o score </w:t>
      </w:r>
      <w:r>
        <w:rPr>
          <w:b/>
          <w:bCs/>
          <w:sz w:val="21"/>
          <w:szCs w:val="21"/>
        </w:rPr>
        <w:t xml:space="preserve">ordenava os casos pior que o acaso</w:t>
      </w:r>
      <w:r>
        <w:rPr>
          <w:b w:val="false"/>
          <w:bCs w:val="false"/>
          <w:sz w:val="21"/>
          <w:szCs w:val="21"/>
        </w:rPr>
        <w:t xml:space="preserve">. A conclusão documentada é que ajustar limiar não recuperaria a meta, e inverter o sinal pós-hoc seria uma nova hipótese ilegítima sobre os mesmos dados.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4.4 Era 4 — Validação externa pública e abertura do holdout (docs 80 a 91)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Esta era marca a primeira tentativa de validação fora da coorte de desenvolvimento, e contém o evento metodologicamente mais importante da história do projeto: o consumo do holdout.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100"/>
        <w:gridCol w:w="23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Braço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Coorte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Interpretação registrada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Positivo externo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LiverHccSeg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Sensibilidade 78,57%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PASSA o gate nominal, mas limite inferior do IC não sustenta 75% populacional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Negativo externo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CHAOS MRI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Especificidade 100,00%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PASSA; galeria aprovada com ressalva de qualidade inferior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Consolidação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LiverHccSeg + CHAOS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78,57% / 100,00%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Qualificação simultânea NÃO DEMONSTRADA — braços de classe única, domínios distintos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Holdout v21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OpenSwissHCC, 44 casos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83,33% / 35,00%; AUC 0,498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 — especificidade colapsa; holdout consumido permanentemente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A abertura do holdout produziu o resultado mais duro do projeto: sensibilidade de 83,33% acompanhada de especificidade de 35,00% e </w:t>
      </w:r>
      <w:r>
        <w:rPr>
          <w:b/>
          <w:bCs/>
          <w:sz w:val="21"/>
          <w:szCs w:val="21"/>
        </w:rPr>
        <w:t xml:space="preserve">AUC de 0,4979 — indistinguível do acaso</w:t>
      </w:r>
      <w:r>
        <w:rPr>
          <w:b w:val="false"/>
          <w:bCs w:val="false"/>
          <w:sz w:val="21"/>
          <w:szCs w:val="21"/>
        </w:rPr>
        <w:t xml:space="preserve">. O sistema não estava ordenando os casos; estava chamando quase tudo de positivo. A consequência permanente é que os 44 casos deixaram de ser validação externa e passaram a desenvolvimento retrospectivo, restringindo severamente todas as avaliações posteriores.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4.5 Era 5 — Geometria vascular e features determinísticas (docs 92 a 118)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Diante do fracasso das abordagens puramente visuais, o projeto voltou-se para características geométricas e físicas mensuráveis, calculadas deterministicamente a partir das máscaras e das fases.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900"/>
        <w:gridCol w:w="23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adicionada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v22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Realce multifásico exato top-5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50,00% / 0,00% (piloto 10)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v23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Geometria vascular / shape fusion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82,05% / 79,17%; 49/50 repetições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MELHOR BASELINE da era — mas 1 repetição abaixo de 75%; congelado como referência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v24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Planaridade e contraste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Perdeu 1 TN; especificidade −2,09 pp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pior que v23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v25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Esfericidade inversa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Decisão idêntica à v23 nos 87 casos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não corrigiu nenhum erro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v26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Preenchimento de bounding box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Mais próxima da v23, mas não superou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falhou o gate de 50/50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v24 liver-enriched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Painéis enriquecidos pelo fígado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61,90% / 59,42%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v25 pathology-target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de alvo patológico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60,32% / 57,97%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v26 + RAG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Alvo patológico com RAG textual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65,08% / 60,87%</w:t>
            </w:r>
          </w:p>
        </w:tc>
        <w:tc>
          <w:tcPr>
            <w:tcW w:type="dxa" w:w="23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v27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Recalibração aninhada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61,90% / 55,07%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A v23 é o resultado que mais se aproximou da meta nas eras pré-supervisionadas, e sua história é instrutiva. Ela atinge 82,05% / 79,17% no desenvolvimento restrito de 87 casos — acima da meta —, mas </w:t>
      </w:r>
      <w:r>
        <w:rPr>
          <w:b/>
          <w:bCs/>
          <w:sz w:val="21"/>
          <w:szCs w:val="21"/>
        </w:rPr>
        <w:t xml:space="preserve">esse desempenho não se sustentou na coorte ampliada de 132 casos</w:t>
      </w:r>
      <w:r>
        <w:rPr>
          <w:b w:val="false"/>
          <w:bCs w:val="false"/>
          <w:sz w:val="21"/>
          <w:szCs w:val="21"/>
        </w:rPr>
        <w:t xml:space="preserve">. Esse par dev87 → full132 é a primeira manifestação limpa e reprodutível do problema de domain shift, e reaparecerá de forma idêntica em todas as eras seguintes.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As três extensões geométricas seguintes (v24, v25, v26) foram pré-especificadas com gates explícitos e todas falharam. A auditoria dos 17 erros persistentes da v23 (docs/103) mostrou que nenhuma das features geométricas corrigia os casos difíceis — eles eram sistematicamente os mesmos.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4.6 Era 6 — Classificador visual supervisionado (docs 119 a 127)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Esta é a era que produz o sistema em produção. O diagnóstico que a motivou, registrado em docs/120, é preciso: </w:t>
      </w:r>
      <w:r>
        <w:rPr>
          <w:b/>
          <w:bCs/>
          <w:sz w:val="21"/>
          <w:szCs w:val="21"/>
        </w:rPr>
        <w:t xml:space="preserve">faltava um classificador visual supervisionado especificamente para separar patologia-alvo de mimetizadores benignos</w:t>
      </w:r>
      <w:r>
        <w:rPr>
          <w:b w:val="false"/>
          <w:bCs w:val="false"/>
          <w:sz w:val="21"/>
          <w:szCs w:val="21"/>
        </w:rPr>
        <w:t xml:space="preserve">. Todas as abordagens anteriores ou eram zero-shot, ou treinavam sobre features derivadas, nunca sobre a representação visual com supervisão direta.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100"/>
        <w:gridCol w:w="25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Sensib.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Especif.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25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 e motivo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5 — MedSigLIP linear congelado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72,27%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73,28%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0,801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de continuação APROVADO (pior eixo &gt; 60%); não promovido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7 — Classificador radiômico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53,64%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57,09%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0,618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não supera 60% nos dois eixos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8 — Classificador 2.5D de patches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46,15%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45,83%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0,521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localizador achou as lesões, classificador não separou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9 — Fusão tardia com v23 (80/20)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73,02%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71,01%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0,764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melhorou o v23 mas não atingiu a meta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13-3 — LoRA Q/V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75,00%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70,45%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0,819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PROMOVIDO — perdeu especificidade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9B — Fusão Fase 5 + LoRA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72,73%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72,87%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0,799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não supera os sinais individuais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Etapa C — supervisão multiclasse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75,91%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76,11%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0,853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APROVADO no agregado — primeiro e único</w:t>
            </w:r>
          </w:p>
        </w:tc>
      </w:tr>
    </w:tbl>
    <w:p>
      <w:pPr>
        <w:spacing w:after="160"/>
      </w:pP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O resultado da Etapa C em detalhe</w:t>
      </w:r>
    </w:p>
    <w:p>
      <w:pPr>
        <w:shd w:fill="F2F2F2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467 casos multicohort</w:t>
      </w:r>
      <w:r>
        <w:rPr>
          <w:rFonts w:ascii="Consolas" w:cs="Consolas" w:eastAsia="Consolas" w:hAnsi="Consolas"/>
          <w:sz w:val="17"/>
          <w:szCs w:val="17"/>
        </w:rPr>
        <w:br/>
        <w:t xml:space="preserve">TP 167 | TN 188 | FP 59 | FN 53 | falhas técnicas 16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sensibilidade   = 75,91%   IC95% Wilson 69,84 – 81,08%</w:t>
      </w:r>
      <w:r>
        <w:rPr>
          <w:rFonts w:ascii="Consolas" w:cs="Consolas" w:eastAsia="Consolas" w:hAnsi="Consolas"/>
          <w:sz w:val="17"/>
          <w:szCs w:val="17"/>
        </w:rPr>
        <w:br/>
        <w:t xml:space="preserve">especificidade  = 76,11%   IC95% Wilson 70,42 – 81,01%</w:t>
      </w:r>
      <w:r>
        <w:rPr>
          <w:rFonts w:ascii="Consolas" w:cs="Consolas" w:eastAsia="Consolas" w:hAnsi="Consolas"/>
          <w:sz w:val="17"/>
          <w:szCs w:val="17"/>
        </w:rPr>
        <w:br/>
        <w:t xml:space="preserve">bootstrap por paciente: sens 70,25 – 81,82% | esp 70,99 – 81,47%</w:t>
      </w:r>
      <w:r>
        <w:rPr>
          <w:rFonts w:ascii="Consolas" w:cs="Consolas" w:eastAsia="Consolas" w:hAnsi="Consolas"/>
          <w:sz w:val="17"/>
          <w:szCs w:val="17"/>
        </w:rPr>
        <w:br/>
        <w:t xml:space="preserve">ROC-AUC         = 0,8534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gate 75/75 (estimativa pontual): APROVADO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Desempenho por coorte — a razão pela qual não foi promovido como qualificado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28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Coorte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Sensibilidade</w:t>
            </w:r>
          </w:p>
        </w:tc>
        <w:tc>
          <w:tcPr>
            <w:tcW w:type="dxa" w:w="28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Especificidade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lld_mmri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73,25%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76,97%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openswisshcc_development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82,05%</w:t>
            </w:r>
          </w:p>
        </w:tc>
        <w:tc>
          <w:tcPr>
            <w:tcW w:type="dxa" w:w="28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77,55%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openswisshcc_consumed_holdout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83,33%</w:t>
            </w:r>
          </w:p>
        </w:tc>
        <w:tc>
          <w:tcPr>
            <w:tcW w:type="dxa" w:w="2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65,00%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O gate agregado passa, mas </w:t>
      </w:r>
      <w:r>
        <w:rPr>
          <w:b/>
          <w:bCs/>
          <w:sz w:val="21"/>
          <w:szCs w:val="21"/>
        </w:rPr>
        <w:t xml:space="preserve">nenhuma das três coortes passa individualmente nos dois eixos</w:t>
      </w:r>
      <w:r>
        <w:rPr>
          <w:b w:val="false"/>
          <w:bCs w:val="false"/>
          <w:sz w:val="21"/>
          <w:szCs w:val="21"/>
        </w:rPr>
        <w:t xml:space="preserve">. O holdout consumido possui apenas 20 negativos — cada caso vale 5 pontos percentuais de especificidade, de modo que mesmo um resultado favorável ali não estaria estabelecido. Por regra da matriz de decisão de docs/120, o candidato foi declarado retrospectivo instável e não promovido como qualificado.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Distribuição dos erros por tipo de lesão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Lesão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44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Comportamento correto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HCC (patologia-alvo)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73,25% detectado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FNH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44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89,13% corretamente negativo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Hemangioma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78,48% corretamente negativo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Cisto hepático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44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64,15% corretamente negativo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O cisto hepático é o maior modo de erro isolado: 36% são chamados de positivo. A investigação de docs/159 estabeleceu que os cistos classificados incorretamente são indistinguíveis dos corretos, tanto na lesão quanto no parênquima adjacente, e que o erro é confiante em vez de marginal. Não existe regra física que corrija esse comportamento.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Validação em lote cego de 120 casos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bundle congelado foi avaliado em um lote cego preparado independentemente. O resultado agregado foi 86,00% de acurácia, com 84,00% de sensibilidade e 88,00% de especificidade. Esse número, entretanto, não pode ser apresentado como validação: a auditoria de proveniência mostrou que 86 dos 100 casos elegíveis estavam no conjunto de treino do bundle. O documento registra explicitamente a proibição de chamá-lo de generalização ou desempenho externo.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4.7 A ablação decisiva — biologia ou calibração de domínio?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Este é o experimento mais importante do projeto. A Etapa C passou o gate usando classes específicas de coorte (positive_unspecified e negative_unspecified), o que permite ao modelo condicionar sua calibração ao domínio de origem. Antes de qualquer afirmação, era necessário determinar se o ganho vinha da </w:t>
      </w:r>
      <w:r>
        <w:rPr>
          <w:b/>
          <w:bCs/>
          <w:sz w:val="21"/>
          <w:szCs w:val="21"/>
        </w:rPr>
        <w:t xml:space="preserve">biologia</w:t>
      </w:r>
      <w:r>
        <w:rPr>
          <w:b w:val="false"/>
          <w:bCs w:val="false"/>
          <w:sz w:val="21"/>
          <w:szCs w:val="21"/>
        </w:rPr>
        <w:t xml:space="preserve"> — o rótulo fino ajudando a separar mimetizadores — ou da </w:t>
      </w:r>
      <w:r>
        <w:rPr>
          <w:b/>
          <w:bCs/>
          <w:sz w:val="21"/>
          <w:szCs w:val="21"/>
        </w:rPr>
        <w:t xml:space="preserve">calibração de domínio</w:t>
      </w:r>
      <w:r>
        <w:rPr>
          <w:b w:val="false"/>
          <w:bCs w:val="false"/>
          <w:sz w:val="21"/>
          <w:szCs w:val="21"/>
        </w:rPr>
        <w:t xml:space="preserve"> — as classes de coorte funcionando como indicador de dataset.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desenho que isola a questão: restringir ao LLD-MMRI, única coorte com rótulos finos reais, onde não existe classe de coorte por construção, e comparar dois braços que diferem exclusivamente na granularidade do rótulo. Mesmo módulo, mesmos embeddings, mesmos splits congelados, mesma agregação, mesma seleção de limiar.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526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Configuração (dentro do LLD-MMRI, 335 casos)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Sensib.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Especif.</w:t>
            </w:r>
          </w:p>
        </w:tc>
        <w:tc>
          <w:tcPr>
            <w:tcW w:type="dxa" w:w="15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Braço binário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76,43%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75,84%</w:t>
            </w:r>
          </w:p>
        </w:tc>
        <w:tc>
          <w:tcPr>
            <w:tcW w:type="dxa" w:w="1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0,8567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Braço multiclasse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75,16%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76,97%</w:t>
            </w:r>
          </w:p>
        </w:tc>
        <w:tc>
          <w:tcPr>
            <w:tcW w:type="dxa" w:w="1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0,8664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Na decisão binária, o rótulo fino é praticamente um empate — troca 1,3 ponto de sensibilidade por 1,1 ponto de especificidade. No AUC, adiciona apenas 0,010. A decomposição completa do ganho:</w:t>
      </w:r>
    </w:p>
    <w:p>
      <w:pPr>
        <w:shd w:fill="F2F2F2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Fase 5 binário, treino nos 467 (subset LLD):   AUC 0,8081   (baseline)</w:t>
      </w:r>
      <w:r>
        <w:rPr>
          <w:rFonts w:ascii="Consolas" w:cs="Consolas" w:eastAsia="Consolas" w:hAnsi="Consolas"/>
          <w:sz w:val="17"/>
          <w:szCs w:val="17"/>
        </w:rPr>
        <w:br/>
        <w:t xml:space="preserve">binário, treino SÓ no LLD (335):               AUC 0,8567   (+0,049)</w:t>
      </w:r>
      <w:r>
        <w:rPr>
          <w:rFonts w:ascii="Consolas" w:cs="Consolas" w:eastAsia="Consolas" w:hAnsi="Consolas"/>
          <w:sz w:val="17"/>
          <w:szCs w:val="17"/>
        </w:rPr>
        <w:br/>
        <w:t xml:space="preserve">multiclasse, treino SÓ no LLD (335):           AUC 0,8664   (+0,058)</w:t>
      </w:r>
      <w:r>
        <w:rPr>
          <w:rFonts w:ascii="Consolas" w:cs="Consolas" w:eastAsia="Consolas" w:hAnsi="Consolas"/>
          <w:sz w:val="17"/>
          <w:szCs w:val="17"/>
        </w:rPr>
        <w:br/>
        <w:t xml:space="preserve">multiclasse, treino nos 467 c/ classes coorte: AUC 0,8630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Portanto o salto de aproximadamente +0,055 AUC da Etapa C decompõe-se em </w:t>
      </w:r>
      <w:r>
        <w:rPr>
          <w:b/>
          <w:bCs/>
          <w:sz w:val="21"/>
          <w:szCs w:val="21"/>
        </w:rPr>
        <w:t xml:space="preserve">+0,049 de separação de domínio</w:t>
      </w:r>
      <w:r>
        <w:rPr>
          <w:b w:val="false"/>
          <w:bCs w:val="false"/>
          <w:sz w:val="21"/>
          <w:szCs w:val="21"/>
        </w:rPr>
        <w:t xml:space="preserve"> — parar de misturar OpenSwissHCC no treino — e apenas </w:t>
      </w:r>
      <w:r>
        <w:rPr>
          <w:b/>
          <w:bCs/>
          <w:sz w:val="21"/>
          <w:szCs w:val="21"/>
        </w:rPr>
        <w:t xml:space="preserve">+0,010 de granularidade de rótulo clínico</w:t>
      </w:r>
      <w:r>
        <w:rPr>
          <w:b w:val="false"/>
          <w:bCs w:val="false"/>
          <w:sz w:val="21"/>
          <w:szCs w:val="21"/>
        </w:rPr>
        <w:t xml:space="preserve">. O ganho é aproximadamente 85% domínio e 15% biologia.</w:t>
      </w:r>
    </w:p>
    <w:p>
      <w:pPr>
        <w:pBdr>
          <w:left w:val="single" w:color="1F3864" w:sz="18" w:space="12"/>
        </w:pBdr>
        <w:spacing w:after="160" w:before="140"/>
        <w:ind w:left="480" w:right="240"/>
      </w:pPr>
      <w:r>
        <w:rPr>
          <w:i/>
          <w:iCs/>
          <w:sz w:val="21"/>
          <w:szCs w:val="21"/>
        </w:rPr>
        <w:t xml:space="preserve">O gargalo não é "o modelo não sabe distinguir cisto de HCC". É heterogeneidade de domínio: misturar OpenSwissHCC e LLD-MMRI no treino piora o desempenho em cada coorte, e um classificador binário simples treinado por coorte já passa o gate na sua própria coorte. — docs/121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Três consequências foram registradas. Primeira: a supervisão multiclasse funcionou majoritariamente porque as classes de coorte agiram como indicador de domínio. Segunda: treino por coorte não é candidato promovível, porque uma instituição nova não possui rótulos in-domain para calibrar — é diagnóstico, não solução. Terceira: perseguir rótulos de subtipo melhores tem retorno marginal; o valor está em generalização entre domínios.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4.8 Era 7 — Identificação da variação (docs 128 a 161)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segunda missão — nomear qual das quatro lesões está presente — recebeu tratamento tão rigoroso quanto o endpoint binário, com gates pré-especificados por escrito antes de cada execução.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200"/>
        <w:gridCol w:w="222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Abordagem testada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Acurácia balanceada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2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Bundle da Etapa C expondo subtipo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52,18%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60%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 — e recall de cisto de apenas 33,33%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MedGemma 4B nomeando subtipo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40%</w:t>
            </w:r>
          </w:p>
        </w:tc>
        <w:tc>
          <w:tcPr>
            <w:tcW w:type="dxa" w:w="22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 integralmente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Realce relativo substituindo as fases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Piorou o baseline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62%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Descritores físicos de realce sozinhos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64,97%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62%</w:t>
            </w:r>
          </w:p>
        </w:tc>
        <w:tc>
          <w:tcPr>
            <w:tcW w:type="dxa" w:w="22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PASSA o gate parcial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ROI de ground truth + descritores físicos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74,47%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TETO de referência com ROI perfeita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T2WI e DWI adicionados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+0,23 ponto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80%</w:t>
            </w:r>
          </w:p>
        </w:tc>
        <w:tc>
          <w:tcPr>
            <w:tcW w:type="dxa" w:w="22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 — ganho é ruído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Recorte MedSigLIP na ROI correta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79,49%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80%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 por 0,51 ponto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Heurísticas geométricas de seleção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+0,0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Seleção de componente aprendida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+0,9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Multiple-instance learning (sem seleção)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−0,35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REPROVADO</w:t>
            </w:r>
          </w:p>
        </w:tc>
      </w:tr>
    </w:tbl>
    <w:p>
      <w:pPr>
        <w:spacing w:after="160"/>
      </w:pP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A aritmética que fecha a questão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subtipo efetivo é o produto de dois fatores independentes: o acerto de localização do componente que contém a lesão, e a discriminação dada a localização correta. Os dois foram medidos separadamente:</w:t>
      </w:r>
    </w:p>
    <w:p>
      <w:pPr>
        <w:shd w:fill="F2F2F2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subtipo efetivo  =  recall do localizador  ×  acerto dado localizado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discriminação máxima com ROI de ground truth  =  79,49%</w:t>
      </w:r>
      <w:r>
        <w:rPr>
          <w:rFonts w:ascii="Consolas" w:cs="Consolas" w:eastAsia="Consolas" w:hAnsi="Consolas"/>
          <w:sz w:val="17"/>
          <w:szCs w:val="17"/>
        </w:rPr>
        <w:br/>
        <w:t xml:space="preserve">oráculo de seleção de componente               =  82,40%</w:t>
      </w:r>
      <w:r>
        <w:rPr>
          <w:rFonts w:ascii="Consolas" w:cs="Consolas" w:eastAsia="Consolas" w:hAnsi="Consolas"/>
          <w:sz w:val="17"/>
          <w:szCs w:val="17"/>
        </w:rPr>
        <w:br/>
        <w:t xml:space="preserve">recall do localizador (união arterial+venosa)  =  80,00%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Para atingir 75% de subtipo seria necessário 94% de acerto de centro, contra um oráculo de 82,4% — ou seja, </w:t>
      </w:r>
      <w:r>
        <w:rPr>
          <w:b/>
          <w:bCs/>
          <w:sz w:val="21"/>
          <w:szCs w:val="21"/>
        </w:rPr>
        <w:t xml:space="preserve">em 17,6% dos casos o componente correto sequer existe entre os candidatos preditos</w:t>
      </w:r>
      <w:r>
        <w:rPr>
          <w:b w:val="false"/>
          <w:bCs w:val="false"/>
          <w:sz w:val="21"/>
          <w:szCs w:val="21"/>
        </w:rPr>
        <w:t xml:space="preserve">. A meta é aritmeticamente inalcançável com esta representação, e três mecanismos independentes (geometria, supervisão aprendida e ausência de seleção) falharam contra o mesmo oráculo.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ganho mais significativo desta linha foi a união dos localizadores venoso e arterial, que elevou o recall de 69,0% para 80,0% — com o ganho concentrado exatamente nas duas classes que eram o gargalo, confirmando a hipótese pré-registrada. Vale notar que docs/93 havia descartado essa mesma união no OpenSwissHCC; ela funcionou no LLD-MMRI, o que é mais uma manifestação de dependência de domínio.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O subtipo é condicionado à coorte, não à lesão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investigação de docs/161 mediu a massa de probabilidade atribuída às quatro classes nomeadas, usando os mesmos modelos por fold, em dados reais: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Coorte</w:t>
            </w:r>
          </w:p>
        </w:tc>
        <w:tc>
          <w:tcPr>
            <w:tcW w:type="dxa" w:w="45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Massa nas 4 classes de subtipo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lld_mmri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99,32%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openswisshcc_development</w:t>
            </w:r>
          </w:p>
        </w:tc>
        <w:tc>
          <w:tcPr>
            <w:tcW w:type="dxa" w:w="4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1,43%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openswisshcc_consumed_holdout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1,47%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O modelo roteia com aproximadamente 99% de pureza pela coorte de origem. A consequência prática é severa e precisa ser dita com clareza: </w:t>
      </w:r>
      <w:r>
        <w:rPr>
          <w:b/>
          <w:bCs/>
          <w:sz w:val="21"/>
          <w:szCs w:val="21"/>
        </w:rPr>
        <w:t xml:space="preserve">em uma instituição nova, a identificação da variação não degradaria — ela simplesmente não dispararia</w:t>
      </w:r>
      <w:r>
        <w:rPr>
          <w:b w:val="false"/>
          <w:bCs w:val="false"/>
          <w:sz w:val="21"/>
          <w:szCs w:val="21"/>
        </w:rPr>
        <w:t xml:space="preserve">. A causa provável é o espaço de rótulos, já que o OpenSwissHCC possui apenas classes unspecified, o que é corrigível — mas torna o rótulo fino de subtipo obrigatório em qualquer coorte futura.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sistema protege-se disso por construção: a guarda de subtipo exige pelo menos 50% de massa nas classes nomeadas antes de nomear qualquer lesão. Verificação empírica: determina em 321 de 321 casos do LLD, em 0 de 130 do OpenSwiss, e em 1 de 330 da coorte sintética.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Os três números de subtipo e sua desambiguação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Circulam três valores de acurácia de subtipo separados por 44 pontos percentuais. Confundi-los seria o erro mais fácil de cometer ao apresentar este trabalho: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é</w:t>
            </w:r>
          </w:p>
        </w:tc>
        <w:tc>
          <w:tcPr>
            <w:tcW w:type="dxa" w:w="40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Validade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96,43%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 casos LLD pelo frontend (docs/171)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IN-SAMPLE — 25/25 verificados no manifesto de treino do bundle; medido sem o gate anatômico que está em produção, que recusaria 2 dos 5 positivos. Prova que o fluxo funciona; não é generalização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52,19%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Caminho de produção, nested-OOF (docs/177)</w:t>
            </w:r>
          </w:p>
        </w:tc>
        <w:tc>
          <w:tcPr>
            <w:tcW w:type="dxa" w:w="40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que o sistema efetivamente entrega fora da amostra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64,81%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Cascata de representações (docs/156)</w:t>
            </w:r>
          </w:p>
        </w:tc>
        <w:tc>
          <w:tcPr>
            <w:tcW w:type="dxa" w:w="4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Melhor medição honesta obtida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4.9 Era 8 — Produto, visualizador e auditoria (docs 162 a 178)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Com o classificador consolidado, o esforço deslocou-se para tornar o sistema operável de ponta a ponta e auditável.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Ingestão de DICOM bruto do PACS com resolução automática de fases (docs/167): exclui reconstruções MPR/MIP/subtração, ordena por posição física em vez de nome de arquivo.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Fallback monofásico explícito quando não há três fases (docs/173), sem jamais fabricar fases sintéticas.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Visualizador 3D auditável (docs/166): cortes ortogonais, régua, vistas anatômicas, painel 2D de ressonância com contorno da máscara, métricas de fidelidade malha-versus-máscara e checklist de revisão.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Região candidata localizada apenas após a decisão estar congelada (docs/169), eliminando vazamento circular entre localização e classificação.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Gate anatômico de plausibilidade da máscara hepática, unificado entre o exame individual e o benchmark.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O gate anatômico e uma inconsistência corrigida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verificação pelo frontend revelou que o gate de plausibilidade da máscara existia apenas no caminho de exame individual. O mesmo exame — os mesmos arquivos — era recusado em uma página e contabilizado como acerto na outra. Aplicando o gate às 25 máscaras do benchmark de docs/171, 2 casos reprovam, e ambos são HCC: 2 dos 5 positivos daquela coorte. A correção unificou o ponto de decisão e adicionou um teste de regressão estrutural que falha se qualquer fluxo voltar a contornar o gate.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Validação da segmentação contra referência humana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Mediu-se que 76% dos 321 casos LLD produzem volume hepático segmentado abaixo de 900 mL, com mediana de 637 mL — muito abaixo do esperado para um fígado adulto. Duas explicações eram plausíveis: o segmentador falha, ou aqueles fígados são pequenos. A questão foi resolvida contra a anotação humana do CHAOS: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 (20 casos CHAOS, referência humana)</w:t>
            </w:r>
          </w:p>
        </w:tc>
        <w:tc>
          <w:tcPr>
            <w:tcW w:type="dxa" w:w="45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Dice mediano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0,908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Razão volume predito / referência</w:t>
            </w:r>
          </w:p>
        </w:tc>
        <w:tc>
          <w:tcPr>
            <w:tcW w:type="dxa" w:w="4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0,85 (mín. 0,76; máx. 0,96)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Casos abaixo de 70% do volume de referência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 de 20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 de referência humano</w:t>
            </w:r>
          </w:p>
        </w:tc>
        <w:tc>
          <w:tcPr>
            <w:tcW w:type="dxa" w:w="4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mediana 1.446 mL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O segmentador não está defeituoso — Dice de 0,908 contra anotação humana é sólido. A causa da subestimação foi isolada: a </w:t>
      </w:r>
      <w:r>
        <w:rPr>
          <w:b/>
          <w:bCs/>
          <w:sz w:val="21"/>
          <w:szCs w:val="21"/>
        </w:rPr>
        <w:t xml:space="preserve">fase de contraste</w:t>
      </w:r>
      <w:r>
        <w:rPr>
          <w:b w:val="false"/>
          <w:bCs w:val="false"/>
          <w:sz w:val="21"/>
          <w:szCs w:val="21"/>
        </w:rPr>
        <w:t xml:space="preserve">. Medição dentro do mesmo exame (docs/165): arterial 122 mL, venosa 486 mL, tardia 607 mL, união das três 650 mL — cinco vezes de variação apenas mudando a fase. O modelo, validado em T1 sem contraste, degrada na fase venosa com contraste, que é justamente a que o pipeline utiliza.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Primeiro sinal externo real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coorte TCGA-LIHC, externa e nunca vista, foi processada com desenho pareado: os painéis gerados pela ingestão automática são byte-idênticos aos do mapeamento aprovado manualmente, em 11 de 11 casos. Isso isola a ingestão da generalização.</w:t>
      </w:r>
    </w:p>
    <w:p>
      <w:pPr>
        <w:shd w:fill="F2F2F2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casos           = 11</w:t>
      </w:r>
      <w:r>
        <w:rPr>
          <w:rFonts w:ascii="Consolas" w:cs="Consolas" w:eastAsia="Consolas" w:hAnsi="Consolas"/>
          <w:sz w:val="17"/>
          <w:szCs w:val="17"/>
        </w:rPr>
        <w:br/>
        <w:t xml:space="preserve">sensibilidade   = 45,45%</w:t>
      </w:r>
      <w:r>
        <w:rPr>
          <w:rFonts w:ascii="Consolas" w:cs="Consolas" w:eastAsia="Consolas" w:hAnsi="Consolas"/>
          <w:sz w:val="17"/>
          <w:szCs w:val="17"/>
        </w:rPr>
        <w:br/>
        <w:t xml:space="preserve">IC 95%          = 21,3 – 72,0%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Como os painéis são idênticos, a queda não vem da ingestão automática de fases — é generalização do classificador congelado. É o primeiro sinal externo real do projeto, e ele é desfavorável. O resultado é inteiramente coerente com o diagnóstico de docs/161.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4.10 Era 9 — Suporte monofásico (docs 179 a 185)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frente mais recente atacou o caso em que o exame não traz as três fases dinâmicas. Sete configurações foram testadas.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Interno (LLD)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Externo (OpenSwiss)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Binário só na fase tardia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77,71% / 75,84%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25,40% / 81,16%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como decisor; virou segundo leitor consultivo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Binário na fase arterial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73,25% / 75,28%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não passa nem internamente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Binário na fase portal/venosa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74,52% / 73,60%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Subtipo multiclasse na fase tardia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48,88% balanceada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top-2 de 77,91% não substitui top-1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Subtipo pareado one-vs-one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+0,65 ponto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gate exigia +5 pontos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Representação por corte axial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+2,17 pontos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 — gate exigia +5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Fusão tardio + axial + ADC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71,79% / 73,47%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54,17% / 50,00%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Supervisão localizada de candidatos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46–64% / 42–56%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REJEITADO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O padrão repete-se com precisão desconfortável: o que funciona no LLD desaba no OpenSwiss. Um resultado desta era merece destaque porque elimina uma hipótese: a supervisão localizada </w:t>
      </w:r>
      <w:r>
        <w:rPr>
          <w:b/>
          <w:bCs/>
          <w:sz w:val="21"/>
          <w:szCs w:val="21"/>
        </w:rPr>
        <w:t xml:space="preserve">resolveu o problema de localização</w:t>
      </w:r>
      <w:r>
        <w:rPr>
          <w:b w:val="false"/>
          <w:bCs w:val="false"/>
          <w:sz w:val="21"/>
          <w:szCs w:val="21"/>
        </w:rPr>
        <w:t xml:space="preserve"> — recall de 100% dos positivos em alguma caixa candidata, 86,49% na configuração operacional de top-8 — </w:t>
      </w:r>
      <w:r>
        <w:rPr>
          <w:b/>
          <w:bCs/>
          <w:sz w:val="21"/>
          <w:szCs w:val="21"/>
        </w:rPr>
        <w:t xml:space="preserve">e ainda assim a classificação permaneceu próxima do acaso</w:t>
      </w:r>
      <w:r>
        <w:rPr>
          <w:b w:val="false"/>
          <w:bCs w:val="false"/>
          <w:sz w:val="21"/>
          <w:szCs w:val="21"/>
        </w:rPr>
        <w:t xml:space="preserve">. Localizar bem não basta.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Uma varredura retrospectiva de todos os limiares possíveis nos 44 casos externos confirmou que nenhum dos quatro sinais possui qualquer limiar que alcance simultaneamente 75% nos dois eixos. O problema é de ordenação e separabilidade, evidenciado por AUCs próximas de 0,5 — não de calibração.</w:t>
      </w:r>
    </w:p>
    <w:p>
      <w:pPr>
        <w:pStyle w:val="Heading3"/>
        <w:spacing w:after="110" w:before="220"/>
      </w:pPr>
      <w:r>
        <w:rPr>
          <w:b/>
          <w:bCs/>
          <w:color w:val="2E5395"/>
          <w:sz w:val="22"/>
          <w:szCs w:val="22"/>
        </w:rPr>
        <w:t xml:space="preserve">O que foi efetivamente promovido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Apenas uma configuração desta era chegou ao produto, com trava dupla: um segundo leitor consultivo para exames identificados com segurança como fase tardia isolada. Ele roda ao lado do MedGemma 4B com RAG, exibe concordância ou discordância ao revisor, eleva a prioridade de revisão quando discorda, e nunca altera a decisão principal. O artefato persistido registra explicitamente affects_primary_decision = false. A promoção automática permanece desabilitada por padrão.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5. O sistema em produção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5.1 Arquitetura do fluxo</w:t>
      </w:r>
    </w:p>
    <w:p>
      <w:pPr>
        <w:shd w:fill="F2F2F2" w:val="clear"/>
        <w:spacing w:after="140" w:before="80"/>
      </w:pPr>
      <w:r>
        <w:rPr>
          <w:rFonts w:ascii="Consolas" w:cs="Consolas" w:eastAsia="Consolas" w:hAnsi="Consolas"/>
          <w:sz w:val="17"/>
          <w:szCs w:val="17"/>
        </w:rPr>
        <w:t xml:space="preserve">DICOM bruto do PACS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resolução automática de fases (exclui MPR/MIP/subtração)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des-identificação automática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segmentação hepática (TotalSegmentator total_mr)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GATE ANATÔMICO — máscara implausível vira falha técnica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harmonização das 3 fases na grade venosa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painéis liver-enriched (RGB = arterial/venosa/tardia)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embeddings MedSigLIP-448 congelados (1152-d)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bundle de produção assinado → decisão binária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guarda de subtipo (≥50% de massa nomeada) → variação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localizador de região candidata (APÓS a decisão congelada)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reconstrução 3D por campo contínuo</w:t>
      </w:r>
      <w:r>
        <w:rPr>
          <w:rFonts w:ascii="Consolas" w:cs="Consolas" w:eastAsia="Consolas" w:hAnsi="Consolas"/>
          <w:sz w:val="17"/>
          <w:szCs w:val="17"/>
        </w:rPr>
        <w:br/>
        <w:t xml:space="preserve">   ↓  revisão humana OBRIGATÓRIA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5.2 Desempenho medido do sistema atual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5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Sensibilidade (agregado, 467 casos)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75,91% (IC 69,8–81,1)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docs/121</w:t>
            </w:r>
          </w:p>
        </w:tc>
      </w:tr>
      <w:tr>
        <w:tc>
          <w:tcPr>
            <w:tcW w:type="dxa" w:w="4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Especificidade (agregado, 467 casos)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76,11% (IC 70,4–81,0)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docs/121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ROC-AUC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0,853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docs/121</w:t>
            </w:r>
          </w:p>
        </w:tc>
      </w:tr>
      <w:tr>
        <w:tc>
          <w:tcPr>
            <w:tcW w:type="dxa" w:w="4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Subtipo do caminho em produção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52,19% balanceada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docs/177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Subtipo da melhor configuração medida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64,81% balanceada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docs/156</w:t>
            </w:r>
          </w:p>
        </w:tc>
      </w:tr>
      <w:tr>
        <w:tc>
          <w:tcPr>
            <w:tcW w:type="dxa" w:w="4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Sinal externo (TCGA-LIHC, n=11)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45,45% sensibilidade</w:t>
            </w:r>
          </w:p>
        </w:tc>
        <w:tc>
          <w:tcPr>
            <w:tcW w:type="dxa" w:w="2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docs/168</w:t>
            </w:r>
          </w:p>
        </w:tc>
      </w:tr>
      <w:tr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 por exame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114 a 130 s</w:t>
            </w:r>
          </w:p>
        </w:tc>
        <w:tc>
          <w:tcPr>
            <w:tcW w:type="dxa" w:w="2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docs/175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5.3 Verificação funcional pelo frontend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pipeline foi exercitado pelo caminho real da interface, injetando os arquivos DICOM na mesma função que o seletor de pasta aciona: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2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2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Variação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ARGOS-BLIND-0046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HCC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POSITIVA — score 0,633 (limiar 0,475), 114 s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HCC — correto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ARGOS-BLIND-0048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Hemangioma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NEGATIVA — score 0,104, 127 s</w:t>
            </w:r>
          </w:p>
        </w:tc>
        <w:tc>
          <w:tcPr>
            <w:tcW w:type="dxa" w:w="22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Hemangioma — correto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ARGOS-BLIND-0026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HCC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Recusado pelo gate anatômico (283 mL)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Nos dois casos que concluíram o pipeline, a decisão binária, a variação e o indicador de alvo da triagem estavam todos corretos. No caso 0046 o aviso de volume hepático disparou automaticamente, sinalizando que a segmentação recuperou 485 mL — abaixo da faixa adulta típica. O sistema avisou contra o próprio resultado, que é o comportamento desejado.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6. Discussão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6.1 Quatro confirmações independentes do mesmo obstáculo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resultado científico central deste projeto não é uma métrica, mas a identificação convergente de uma causa. Quatro linhas de investigação metodologicamente independentes, conduzidas em momentos diferentes e com desenhos diferentes, chegaram ao mesmo obstáculo: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Desenho</w:t>
            </w:r>
          </w:p>
        </w:tc>
        <w:tc>
          <w:tcPr>
            <w:tcW w:type="dxa" w:w="3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Ablação binário vs. multiclasse restrita ao LLD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85% do ganho vem de separação de domínio, 15% de rótulo clínico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docs/131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Predição da coorte a partir das features físicas</w:t>
            </w:r>
          </w:p>
        </w:tc>
        <w:tc>
          <w:tcPr>
            <w:tcW w:type="dxa" w:w="3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coorte é previsível com 98,75% de acurácia balanceada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docs/161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Massa de probabilidade por classe, mesmos modelos</w:t>
            </w:r>
          </w:p>
        </w:tc>
        <w:tc>
          <w:tcPr>
            <w:tcW w:type="dxa" w:w="3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99,32% de massa no LLD contra 1,43% no OpenSwiss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docs/182 e 184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Sete configurações monofásicas, incluindo localização resolvida</w:t>
            </w:r>
          </w:p>
        </w:tc>
        <w:tc>
          <w:tcPr>
            <w:tcW w:type="dxa" w:w="3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 representação que funciona no LLD desaba no OpenSwiss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A conclusão que essas quatro linhas sustentam conjuntamente é que </w:t>
      </w:r>
      <w:r>
        <w:rPr>
          <w:b/>
          <w:bCs/>
          <w:sz w:val="21"/>
          <w:szCs w:val="21"/>
        </w:rPr>
        <w:t xml:space="preserve">o gargalo do sistema não é discriminação biológica entre lesões, nem escolha de limiar, nem arquitetura de classificador, nem cobertura ou resolução da representação</w:t>
      </w:r>
      <w:r>
        <w:rPr>
          <w:b w:val="false"/>
          <w:bCs w:val="false"/>
          <w:sz w:val="21"/>
          <w:szCs w:val="21"/>
        </w:rPr>
        <w:t xml:space="preserve">. É heterogeneidade de domínio entre instituições. Um classificador binário simples treinado dentro de uma única coorte já passa o gate naquela coorte (LLD: 76,43% / 75,84%). O que não sobrevive é a transferência.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6.2 O padrão que se repete em toda a história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Vista em retrospecto, a história inteira do ARGOS é a mesma observação repetida em escalas crescentes de sofisticação: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v23: 82,05% / 79,17% em 87 casos de desenvolvimento; não sustentado nos 132 ampliados.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v11: 74,36% / 75,00% em LOOCV; apenas 12 de 50 repetições estáveis.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Holdout v21: 83,33% de sensibilidade com 35,00% de especificidade e AUC de 0,498.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Etapa C: passa no agregado de 467; nenhuma das três coortes passa individualmente.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Monofásico tardio: 77,71% / 75,84% no LLD; 25,40% / 81,16% no OpenSwiss.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TCGA-LIHC: 45,45% de sensibilidade com painéis byte-idênticos aos aprovados.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Cada uma dessas linhas foi, à época, uma tentativa legítima de resolver o problema por meios diferentes. Nenhuma delas contornou o obstáculo, porque nenhuma delas endereçava a causa.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6.3 O que este projeto demonstra sobre método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Uma contribuição não numérica merece registro. O projeto acumulou aproximadamente vinte e cinco rejeições documentadas contra uma única aprovação parcial. Essa proporção </w:t>
      </w:r>
      <w:r>
        <w:rPr>
          <w:b/>
          <w:bCs/>
          <w:sz w:val="21"/>
          <w:szCs w:val="21"/>
        </w:rPr>
        <w:t xml:space="preserve">é o resultado do rigor, não apesar dele</w:t>
      </w:r>
      <w:r>
        <w:rPr>
          <w:b w:val="false"/>
          <w:bCs w:val="false"/>
          <w:sz w:val="21"/>
          <w:szCs w:val="21"/>
        </w:rPr>
        <w:t xml:space="preserve">. Em diversos momentos existiu um número aparentemente favorável que teria sido publicável se as regras tivessem sido afrouxadas: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docs/21: 12 de 12 positivos detectados — recusado como evidência, corretamente identificado como saturação.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docs/40: piloto de 10 casos com 75,00% / 83,33% e 44 de 50 repetições aprovadas — recusado por amostra insuficiente, e de fato não se reproduziu.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docs/46: v11 a um único verdadeiro positivo da meta — encerrado em vez de reajustar pesos.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docs/126: 86,00% de acurácia em lote cego — recusado após auditoria mostrar que 86 de 100 casos estavam no treino.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docs/156: cascata reprovada por 0,19 ponto, menos de meio caso — registrada como reprovada.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docs/143: recorte MedSigLIP reprovado por 0,51 ponto — gate fixado antes, mantido depois.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Em cada um desses casos, a decisão registrada foi contra o interesse imediato do projeto. Um sistema que aceitasse esses números teria hoje uma alegação de desempenho muito superior e completamente insustentável sob escrutínio.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7. Limitações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As limitações abaixo devem ser apresentadas antes de serem perguntadas.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Não é desempenho clínico. Todos os números são validação cruzada em dados de desenvolvimento, com prevalência artificial. Em triagem real a especificidade pesa consideravelmente mais.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 coorte de origem é previsível com 98,75% de acurácia a partir das features físicas. Existe confundimento entre coortes que permanece não resolvido.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O único sinal externo verdadeiramente independente disponível é de 45,45% de sensibilidade, com n = 11 e intervalo de confiança de 21,3 a 72,0%.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 segmentação hepática subestima o volume na fase com contraste: mediana de 637 mL, com 76% dos casos abaixo do piso adulto de 900 mL. A causa foi medida (Dice de 0,908 contra referência humana em T1 sem contraste), mas o efeito limita o modelo tridimensional.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 identificação de variação praticamente não dispara fora do LLD-MMRI — 0 de 130 casos do OpenSwiss recebem subtipo nomeado.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Nunca foi realizada comparação sistemática contra outros encoders candidatos. A escolha do MedSigLIP é documentada pelo abandono da via generativa, não por disputa controlada.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Não há comparação documentada com a literatura publicada de triagem de HCC por ressonância — nem contra desempenho de radiologistas, nem contra outros sistemas.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As quatro subclasses (HCC, FNH, hemangioma, cisto) são as classes rotuladas no LLD-MMRI, não uma curadoria clínica prévia de relevância diagnóstica.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O holdout OpenSwissHCC foi consumido e não pode ser reutilizado como validação externa.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clinical_use_allowed permanece false em todo artefato produzido pelo sistema.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8. Conclusão e próximos passos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8.1 Estado consolidado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Missão</w:t>
            </w:r>
          </w:p>
        </w:tc>
        <w:tc>
          <w:tcPr>
            <w:tcW w:type="dxa" w:w="45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Triagem com 75% / 75%</w:t>
            </w:r>
          </w:p>
        </w:tc>
        <w:tc>
          <w:tcPr>
            <w:tcW w:type="dxa" w:w="4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ATINGIDA no agregado: 75,91% / 76,11%, AUC 0,853 — não estável por coorte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Identificar a variação em 75%</w:t>
            </w:r>
          </w:p>
        </w:tc>
        <w:tc>
          <w:tcPr>
            <w:tcW w:type="dxa" w:w="45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NÃO ATINGIDA. Melhor medição honesta: 64,81%. O limite é aritmético e está demonstrado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8.2 O que destrava o projeto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A recomendação técnica deste relatório é inequívoca e decorre das quatro confirmações independentes da Seção 6.1: </w:t>
      </w:r>
      <w:r>
        <w:rPr>
          <w:b/>
          <w:bCs/>
          <w:sz w:val="21"/>
          <w:szCs w:val="21"/>
        </w:rPr>
        <w:t xml:space="preserve">o avanço material depende de uma coorte real adicional, de instituição distinta, com rótulo fino de subtipo</w:t>
      </w:r>
      <w:r>
        <w:rPr>
          <w:b w:val="false"/>
          <w:bCs w:val="false"/>
          <w:sz w:val="21"/>
          <w:szCs w:val="21"/>
        </w:rPr>
        <w:t xml:space="preserve">. Especificação registrada em docs/157: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Aproximadamente 100 negativos — o holdout atual possui 20, e o intervalo de confiança de especificidade tem 38 pontos de largura.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Aproximadamente 50 casos de FNH — hoje são 46, que é o teto da fonte pública disponível, e é a pior classe do sistema.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Instituição diferente — sem isso o confundimento de domínio não pode ser resolvido nem sequer medido corretamente.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Rótulo fino de subtipo obrigatório — sem ele o problema documentado em docs/161 se reproduz.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Verificou-se que não existe dataset público de ressonância com os quatro subtipos proveniente de outra instituição. O caminho é aquisição institucional, com prazo realista de 6 a 12 meses, sendo a rotulagem por dois leitores independentes o gargalo real do cronograma.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8.3 Ganho disponível e ainda não implementado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cascata de representações — fusão onde há recorte disponível, recorte quando não há fígado inteiro, e fígado inteiro como último recurso — supera o caminho atualmente em produção em todas as classes: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6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 produção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Cascata</w:t>
            </w:r>
          </w:p>
        </w:tc>
        <w:tc>
          <w:tcPr>
            <w:tcW w:type="dxa" w:w="2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Diferença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FNH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52,2%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67,4%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+15,2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HCC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74,5%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74,5%</w:t>
            </w:r>
          </w:p>
        </w:tc>
        <w:tc>
          <w:tcPr>
            <w:tcW w:type="dxa" w:w="2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Hemangioma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48,1%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57,0%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+8,9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Cisto hepático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34,0%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60,4%</w:t>
            </w:r>
          </w:p>
        </w:tc>
        <w:tc>
          <w:tcPr>
            <w:tcW w:type="dxa" w:w="2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+26,4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Balanceada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52,19%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64,81%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+12,6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Ambos os valores foram medidos em validação cruzada aninhada com denominador honesto, sendo portanto diretamente comparáveis. Não foi implementado por dois motivos verificados: não existe modelo de fusão treinado — a medição de docs/156 foi produzida com modelos por fold, sem artefato de produção assinado — e não há como validar um modelo novo hoje, porque todo caso disponível para teste está no conjunto de treino do bundle.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5"/>
          <w:szCs w:val="25"/>
        </w:rPr>
        <w:t xml:space="preserve">8.4 Próximo experimento cientificamente válido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Enquanto a coorte não chega, o experimento prescrito pelos próprios documentos 184 e 185 é construir um candidato espacial único que combine, na mesma caixa, as fases dinâmicas e as sequências ortogonais T2, DWI e ADC — em vez de agregar scores globais independentes por modalidade. Isso requer registrar T2, DWI e ADC na mesma grade venosa, o que ainda não existe no pipeline: hoje apenas as fases arterial e tardia passam por esse registro.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justificativa clínica é direta: um radiologista não soma impressões globais por sequência; ele examina um ponto específico e verifica se há hipersinal em T2, restrição em difusão e realce arterial com washout tardio simultaneamente naquele ponto. É a coincidência espacial entre sequências que carrega o sinal, e é exatamente isso que a fusão de scores globais descarta.</w:t>
      </w:r>
    </w:p>
    <w:p>
      <w:pPr>
        <w:spacing w:after="120" w:line="276"/>
        <w:jc w:val="both"/>
      </w:pPr>
      <w:r>
        <w:rPr>
          <w:b w:val="false"/>
          <w:bCs w:val="false"/>
          <w:sz w:val="21"/>
          <w:szCs w:val="21"/>
        </w:rPr>
        <w:t xml:space="preserve">Registre-se, contudo, o teto realista dessa linha: mesmo que ela produza ganho dentro do LLD, </w:t>
      </w:r>
      <w:r>
        <w:rPr>
          <w:b/>
          <w:bCs/>
          <w:sz w:val="21"/>
          <w:szCs w:val="21"/>
        </w:rPr>
        <w:t xml:space="preserve">não existe hoje onde validá-la de forma limpa</w:t>
      </w:r>
      <w:r>
        <w:rPr>
          <w:b w:val="false"/>
          <w:bCs w:val="false"/>
          <w:sz w:val="21"/>
          <w:szCs w:val="21"/>
        </w:rPr>
        <w:t xml:space="preserve">, pois os 132 casos do OpenSwissHCC já foram integralmente consumidos como desenvolvimento. O resultado seria, na melhor das hipóteses, um candidato mais forte para quando a segunda coorte estiver disponível.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0"/>
          <w:szCs w:val="30"/>
        </w:rPr>
        <w:t xml:space="preserve">9. Referências internas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Este relatório é integralmente rastreável aos documentos técnicos versionados do projeto. Os principais são listados abaixo; todos possuem assinaturas SHA-256 dos artefatos correspondentes.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76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docs/17–23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Qualificação do MedGemma 4B generativo e transição para MedSigLIP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docs/24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Fundação OpenSwissHCC; split congelado; correção do método de scoring do MedSigLIP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docs/29–50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Iterações v3 a v13: cobertura volumétrica, multissequência, localizador 3D, fusão v11, entrada 3D nativa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docs/46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Teto documentado das abordagens sem treino supervisionado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docs/51–79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Iterações v14 a v20: score contínuo, leitor focal, atlas axial e em blocos, RAG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docs/80–91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 externa pública (LiverHccSeg, CHAOS) e consumo do holdout OpenSwissHCC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docs/92–118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Geometria vascular v22 a v27; baseline v23 congelado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docs/120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Plano de ação do classificador visual supervisionado — 15 fases, gates e matriz de decisão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docs/121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 de implementação da Etapa C; ablação domínio versus biologia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docs/123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Bundle de produção e benchmark visual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docs/126–127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Lote cego de 120 casos e correção da guarda de proveniência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docs/128–146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Linha de identificação de variação: pré-especificações, tetos e reprovações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docs/150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Demonstração aritmética da inalcançabilidade da meta de subtipo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docs/156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Cascata de representações — melhor medição honesta de subtipo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docs/159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Análise do erro em cisto hepático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docs/161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Demonstração de que o subtipo é condicionado à coorte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docs/165–169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Visualizador 3D auditável, ingestão de DICOM bruto, região candidata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docs/174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Consolidado de estado para apresentação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docs/175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Teste pelo frontend e correção do volume hepático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docs/176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Validação do segmentador contra referência humana CHAOS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docs/177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Acurácia de subtipo do caminho em produção</w:t>
            </w:r>
          </w:p>
        </w:tc>
      </w:tr>
      <w:tr>
        <w:tc>
          <w:tcPr>
            <w:tcW w:type="dxa" w:w="1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docs/178</w:t>
            </w:r>
          </w:p>
        </w:tc>
        <w:tc>
          <w:tcPr>
            <w:tcW w:type="dxa" w:w="7626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Procedência dos dados e origem da escolha de encoder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docs/179–185</w:t>
            </w:r>
          </w:p>
        </w:tc>
        <w:tc>
          <w:tcPr>
            <w:tcW w:type="dxa" w:w="7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Frente monofásica: sete configurações, segundo leitor consultivo</w:t>
            </w:r>
          </w:p>
        </w:tc>
      </w:tr>
    </w:tbl>
    <w:p>
      <w:pPr>
        <w:spacing w:after="160"/>
      </w:pPr>
    </w:p>
    <w:p>
      <w:pPr>
        <w:pBdr>
          <w:top w:val="single" w:color="BF8F00" w:sz="8"/>
          <w:bottom w:val="single" w:color="BF8F00" w:sz="8"/>
          <w:left w:val="single" w:color="BF8F00" w:sz="8"/>
          <w:right w:val="single" w:color="BF8F00" w:sz="8"/>
        </w:pBdr>
        <w:shd w:fill="FFF2CC" w:val="clear"/>
        <w:spacing w:after="100" w:before="400"/>
      </w:pPr>
      <w:r>
        <w:rPr>
          <w:b/>
          <w:bCs/>
          <w:color w:val="7F6000"/>
          <w:sz w:val="19"/>
          <w:szCs w:val="19"/>
        </w:rPr>
        <w:t xml:space="preserve">  Declaração final — Todos os resultados apresentados são retrospectivos e de pesquisa. Nenhum constitui validação clínica, diagnóstico ou laudo médico. A revisão humana permanece obrigatória em todo o fluxo, e clinical_use_allowed permanece false em todos os artefatos gerados pelo sistema. 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ARGOS/OREN — documento de pesquisa · uso clínico não autorizado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ARGOS/OREN — Relatório técnico-científico consolidado</dc:title>
  <dc:creator>Projeto ARGOS/OREN</dc:creator>
  <dc:description>Histórico completo de desenvolvimento, experimentos, resultados e decisões</dc:description>
  <cp:lastModifiedBy>Un-named</cp:lastModifiedBy>
  <cp:revision>1</cp:revision>
  <dcterms:created xsi:type="dcterms:W3CDTF">2026-08-06T00:16:12.991Z</dcterms:created>
  <dcterms:modified xsi:type="dcterms:W3CDTF">2026-08-06T00:16:12.991Z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