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20"/>
        <w:jc w:val="center"/>
      </w:pPr>
      <w:r>
        <w:rPr>
          <w:rFonts w:ascii="Calibri" w:hAnsi="Calibri"/>
          <w:b/>
          <w:i w:val="0"/>
          <w:color w:val="2E74B5"/>
          <w:sz w:val="30"/>
        </w:rPr>
        <w:t>ARGOS</w:t>
      </w:r>
    </w:p>
    <w:p>
      <w:pPr>
        <w:spacing w:after="240"/>
        <w:jc w:val="center"/>
      </w:pPr>
      <w:r>
        <w:rPr>
          <w:rFonts w:ascii="Calibri" w:hAnsi="Calibri"/>
          <w:b/>
          <w:i w:val="0"/>
          <w:color w:val="163A5F"/>
          <w:sz w:val="50"/>
        </w:rPr>
        <w:t>MÉTRICAS, PIPELINE E ESTADO ATUAL</w:t>
      </w:r>
    </w:p>
    <w:p>
      <w:pPr>
        <w:spacing w:after="480"/>
        <w:jc w:val="center"/>
      </w:pPr>
      <w:r>
        <w:rPr>
          <w:rFonts w:ascii="Calibri" w:hAnsi="Calibri"/>
          <w:b w:val="0"/>
          <w:i w:val="0"/>
          <w:color w:val="68737D"/>
          <w:sz w:val="28"/>
        </w:rPr>
        <w:t>Triagem experimental de lesões focais hepáticas em RM multifásica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63A5F"/>
                <w:sz w:val="22"/>
              </w:rPr>
              <w:t>Conclusão executiva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22"/>
              </w:rPr>
              <w:t>O ARGOS já demonstra, no frontend real, um pipeline completo e reprodutível em menos de três minutos por exame. O endpoint binário atingiu 75,91% de sensibilidade e 76,11% de especificidade em nested-OOF. A identificação de subtipo ainda não possui validação independente: o melhor número defensável permanece 61,46%, apesar de uma prova funcional in-sample de 96,43%.</w:t>
            </w:r>
          </w:p>
        </w:tc>
      </w:tr>
    </w:tbl>
    <w:p>
      <w:pPr>
        <w:spacing w:after="40"/>
      </w:pPr>
    </w:p>
    <w:p>
      <w:pPr>
        <w:spacing w:before="520"/>
        <w:jc w:val="center"/>
      </w:pPr>
      <w:r>
        <w:rPr>
          <w:rFonts w:ascii="Calibri" w:hAnsi="Calibri"/>
          <w:b w:val="0"/>
          <w:i w:val="0"/>
          <w:color w:val="68737D"/>
          <w:sz w:val="21"/>
        </w:rPr>
        <w:t>Versão consolidada · 3 de agosto de 2026</w:t>
      </w:r>
    </w:p>
    <w:p>
      <w:pPr>
        <w:jc w:val="center"/>
      </w:pPr>
      <w:r>
        <w:rPr>
          <w:rFonts w:ascii="Calibri" w:hAnsi="Calibri"/>
          <w:b/>
          <w:i w:val="0"/>
          <w:color w:val="B3261E"/>
          <w:sz w:val="21"/>
        </w:rPr>
        <w:t>Pesquisa — não validado para uso clínico</w:t>
      </w:r>
    </w:p>
    <w:p>
      <w:r>
        <w:br w:type="page"/>
      </w:r>
    </w:p>
    <w:p>
      <w:pPr>
        <w:pStyle w:val="Heading1"/>
        <w:keepNext/>
      </w:pPr>
      <w:r>
        <w:t>1. Resumo executivo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O ARGOS recebe um exame de RM hepática multifásica, organiza as fases, harmoniza os volumes, segmenta o fígado, cria painéis visuais, extrai representações com MedSigLIP e executa um classificador supervisionado congelado. A saída é mostrada no webapp como triagem da patologia-alvo e, quando tecnicamente sustentado, como identificação da variação/entidade visual. Os percentuais deste relatório pertencem a esse classificador visual; o MedGemma 4B permanece disponível nos modos de relatório, mas não é a fonte destas métricas.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2500"/>
        <w:gridCol w:w="42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Objetivo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Estado medido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Interpretação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Binário: HCC/patologia-alvo vs. benigno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75,91% sens. · 76,11% esp. nested-OOF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Meta agregada ≥75% atingida; ainda instável entre datasets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Subtipo: HCC, FNH, hemangioma, cisto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61,46% balanceada OOF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Abaixo da meta científica de 75%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Demonstração no frontend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96,43% balanceada · 25/25 concluídos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Fluxo funcional; resultado in-sample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Tempo operacional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51,82 s em média; 99,23 s máximo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Meta de até 180 s satisfeita no lote demonstrativo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B26A00"/>
                <w:sz w:val="22"/>
              </w:rPr>
              <w:t>Mensagem para apresentação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22"/>
              </w:rPr>
              <w:t>Hoje é defensável afirmar que a fundação técnica e o endpoint binário atingiram o alvo agregado em avaliação retrospectiva nested-OOF. Ainda não é defensável afirmar 75% de identificação de subtipo em exames novos nem validação clínica externa.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O que exatamente o ARGOS mede</w:t>
      </w:r>
    </w:p>
    <w:p>
      <w:pPr>
        <w:pStyle w:val="Heading2"/>
        <w:keepNext/>
      </w:pPr>
      <w:r>
        <w:t>2.1 Endpoint binário — patologia-alvo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A decisão binária não responde se existe qualquer diferença anatômica. Ela pergunta se há evidência de patologia-alvo suspeita. Para a demonstração atual, HCC é positivo; FNH, hemangioma e cisto simples são negativos benignos para o endpoint principal.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1800"/>
        <w:gridCol w:w="50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9"/>
              </w:rPr>
              <w:t>Referência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9"/>
              </w:rPr>
              <w:t>Classe binária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9"/>
              </w:rPr>
              <w:t>Motivo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HCC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POSITIVA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Patologia-alvo suspeita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FNH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NEGATIVA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Entidade benigna, apesar de ser alteração visual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Hemangioma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NEGATIVA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Lesão benigna para a métrica principal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Cisto hepático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NEGATIVA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Achado benigno para a métrica principal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2.2 Endpoint multiclasse — variação/entidade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Quando a distribuição de probabilidades contém informação suficiente, o sistema nomeia uma das quatro classes. Quando a massa está concentrada nas classes genéricas de domínio, o correto é não determinar o subtipo, evitando inventar uma entidade.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E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E7D32"/>
                <w:sz w:val="22"/>
              </w:rPr>
              <w:t>Regra de segurança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22"/>
              </w:rPr>
              <w:t>Falha técnica, inconclusivo ou subtipo não determinado não é removido do denominador. O caso permanece erro na métrica correspondente. Isso impede inflar artificialmente a porcentagem.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Pipeline completo — do DICOM à métrica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O diagrama resume a execução real. As etapas clínicas protegidas ficam isoladas da inferência: labels e máscaras de lesão só podem ser consultados depois que as predições foram congeladas.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937760" cy="5303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68737D"/>
          <w:sz w:val="18"/>
        </w:rPr>
        <w:t>Figura 1 — Pipeline operacional e separação entre inferência e avaliação.</w:t>
      </w:r>
    </w:p>
    <w:p>
      <w:pPr>
        <w:pStyle w:val="Heading2"/>
        <w:keepNext/>
      </w:pPr>
      <w:r>
        <w:t>3.1 Entrada e organização das fases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O frontend aceita o estudo DICOM bruto. O resolvedor busca um único estudo de RM e identifica arterial, portal/venosa e tardia por metadados e ordenação temporal de séries T1 axiais pós-contraste. Estudos ambíguos ou sem três fases seguras falham fechado.</w:t>
      </w:r>
    </w:p>
    <w:p>
      <w:pPr>
        <w:pStyle w:val="Heading2"/>
        <w:keepNext/>
      </w:pPr>
      <w:r>
        <w:t>3.2 Harmonização geométrica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A fase venosa é usada como grade de referência. Arterial e tardia são reamostradas para a mesma geometria física; a cobertura é verificada antes de prosseguir. Isso torna comparáveis as intensidades e posições entre fases.</w:t>
      </w:r>
    </w:p>
    <w:p>
      <w:pPr>
        <w:pStyle w:val="Heading2"/>
        <w:keepNext/>
      </w:pPr>
      <w:r>
        <w:t>3.3 Segmentação hepática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O TotalSegmentator delimita o fígado em resolução completa (fast=False). A máscara serve para localizar e enquadrar o órgão; não contém a lesão-alvo e não participa como ground truth da inferência.</w:t>
      </w:r>
    </w:p>
    <w:p>
      <w:pPr>
        <w:pStyle w:val="Heading2"/>
        <w:keepNext/>
      </w:pPr>
      <w:r>
        <w:t>3.4 Painéis visuais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São gerados painéis multifásicos enriquecidos pelo fígado, com janela de intensidade e composição reproduzíveis. O conteúdo é o mesmo tipo de representação usado no desenvolvimento do classificador.</w:t>
      </w:r>
    </w:p>
    <w:p>
      <w:pPr>
        <w:pStyle w:val="Heading2"/>
        <w:keepNext/>
      </w:pPr>
      <w:r>
        <w:t>3.5 Representação e classificação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O MedSigLIP congelado transforma cada painel em um embedding visual. Um classificador multiclasse supervisionado, também congelado e assinado, agrega os painéis e produz probabilidades. A decisão binária deriva da massa de probabilidade das classes positivas; o subtipo passa por uma guarda de determinação.</w:t>
      </w:r>
    </w:p>
    <w:p>
      <w:pPr>
        <w:pStyle w:val="Heading2"/>
        <w:keepNext/>
      </w:pPr>
      <w:r>
        <w:t>3.6 Pós-inferência, métricas e auditoria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Somente após a persistência da predição o backend anexa o rótulo protegido. O avaliador gera matriz de confusão, sensibilidade, especificidade, acurácia, intervalos de confiança e métricas por subtipo. O webapp preserva JSON/CSV, artefatos dos casos e revisão humana obrigatória.</w:t>
      </w:r>
    </w:p>
    <w:p>
      <w:pPr>
        <w:pStyle w:val="Heading1"/>
        <w:keepNext/>
      </w:pPr>
      <w:r>
        <w:t>4. Como as métricas são calculadas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50"/>
        <w:gridCol w:w="2550"/>
        <w:gridCol w:w="4960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Métrica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Definição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Pergunta respondida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Sensibilidade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TP / (TP + FN)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Entre os doentes, quantos foram detectados?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Especificidade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TN / (TN + FP)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Entre os benignos/negativos, quantos foram corretamente poupados?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Acurácia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(TP + TN) / total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Qual a proporção total de decisões corretas?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Top-1 de subtipo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predição exata / total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Quantos casos receberam o nome correto?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Acurácia balanceada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média do recall das classes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O sistema funciona sem ser dominado pela classe maior?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Taxa de determinação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subtipo emitido / total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Em quantos casos o sistema se compromete com uma classe?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Os intervalos de confiança Wilson de 95% são reportados porque amostras pequenas podem produzir porcentagens extremas com grande incerteza. Por exemplo, 5/5 HCC equivale a 100%, mas o limite inferior do IC é 56,5%.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B26A00"/>
                <w:sz w:val="22"/>
              </w:rPr>
              <w:t>Princípio metodológico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22"/>
              </w:rPr>
              <w:t>Uma execução pode ser completamente nova e ainda assim ser in-sample. O que define generalização não é a data da execução, mas se os pacientes pertenciam ou não ao universo usado para ajustar o modelo.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Evidência quantitativa atual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536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3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68737D"/>
          <w:sz w:val="18"/>
        </w:rPr>
        <w:t>Figura 2 — Resultados que devem ser apresentados em categorias metodológicas distintas.</w:t>
      </w:r>
    </w:p>
    <w:p>
      <w:pPr>
        <w:pStyle w:val="Heading2"/>
        <w:keepNext/>
      </w:pPr>
      <w:r>
        <w:t>5.1 Melhor estimativa honesta do endpoint binário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50"/>
        <w:gridCol w:w="750"/>
        <w:gridCol w:w="1500"/>
        <w:gridCol w:w="1500"/>
        <w:gridCol w:w="3360"/>
      </w:tblGrid>
      <w:tr>
        <w:trPr>
          <w:tblHeader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7"/>
              </w:rPr>
              <w:t>Recorte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7"/>
              </w:rPr>
              <w:t>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7"/>
              </w:rPr>
              <w:t>Sensibilidade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7"/>
              </w:rPr>
              <w:t>Especificidade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7"/>
              </w:rPr>
              <w:t>Leitura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Agregado nested-OOF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467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75,91%</w:t>
              <w:br/>
              <w:t>IC95% 69,84–81,08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76,11%</w:t>
              <w:br/>
              <w:t>IC95% 70,42–81,01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Passa o alvo agregado; AUC 0,853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LLD-MMRI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335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73,25%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76,97%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Sensibilidade abaixo de 75%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OpenSwiss desenvolvimento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88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82,05%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77,55%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Passa no ponto estimado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OpenSwiss holdout consumido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44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83,33%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65,00%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Especificidade insuficiente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No agregado, a meta de 75%/75% é atingida. A variação entre datasets impede declarar estabilidade externa: o resultado depende da origem do exame e os intervalos de confiança ainda cruzam o alvo.</w:t>
      </w:r>
    </w:p>
    <w:p>
      <w:pPr>
        <w:pStyle w:val="Heading2"/>
        <w:keepNext/>
      </w:pPr>
      <w:r>
        <w:t>5.2 Melhor estimativa honesta do subtipo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O valor oficial permanece 61,46% de acurácia balanceada em quatro classes, medido fora da amostra dentro do desenvolvimento. Uma cascata retrospectiva chegou a 64,81%, mas falhou no gate pré-especificado de 65% por 0,19 ponto e não foi promovida.</w:t>
      </w:r>
    </w:p>
    <w:p>
      <w:pPr>
        <w:pStyle w:val="Heading1"/>
        <w:keepNext/>
      </w:pPr>
      <w:r>
        <w:t>6. Prova funcional no frontend — benchmark 9a736ea3cfee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Em 3 de agosto de 2026, 25 exames LLD-MMRI foram enviados pelo próprio frontend no modo Patologia + Variação. Cada caso percorreu nova ingestão, resolução de fases, segmentação, geração de painéis, embedding, classificação e cálculo de métricas. Não houve reuso de cache de predição.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1300"/>
        <w:gridCol w:w="50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9"/>
              </w:rPr>
              <w:t>Composição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9"/>
              </w:rPr>
              <w:t>Casos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9"/>
              </w:rPr>
              <w:t>Resultado por classe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HCC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5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5/5 (100%)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FNH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6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6/6 (100%)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Hemangioma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7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7/7 (100%)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Cisto hepático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7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6/7 (85,71%)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900"/>
        <w:gridCol w:w="45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Endpoint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Resultado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Detalhe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Binário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100% sens. · 100% esp.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TP=5, TN=20, FP=0, FN=0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Subtipo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96,43% balanceada · 96% top-1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24/25 corretos; 100% determinados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Execução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25/25 concluídos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0 falhas e 0 inconclusivos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Tempo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51,82 s médio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44,37–99,23 s; todos abaixo de 180 s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9E7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B3261E"/>
                <w:sz w:val="22"/>
              </w:rPr>
              <w:t>Único erro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22"/>
              </w:rPr>
              <w:t>ARGOS-BLIND-0007: cisto hepático classificado como hemangioma, com 84,11% de confiança. A decisão binária permaneceu NEGATIVA e correta, pois ambas as entidades são benignas para a patologia-alvo.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O que esse benchmark comprova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O caminho real do frontend funciona de ponta a ponta.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A separação entre patologia-alvo e variação benigna está implementada.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As métricas e os artefatos são produzidos automaticamente e de forma auditável.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O orçamento operacional de três minutos foi cumprido no lote.</w:t>
      </w:r>
    </w:p>
    <w:p>
      <w:pPr>
        <w:pStyle w:val="Heading2"/>
        <w:keepNext/>
      </w:pPr>
      <w:r>
        <w:t>O que ele não comprova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Os 25 pacientes vêm do LLD-MMRI, coorte que participa do universo de desenvolvimento. Portanto, 96,43% é uma prova funcional in-sample e não pode ser usado como estimativa de desempenho em um DICOM aleatório de outra instituição.</w:t>
      </w:r>
    </w:p>
    <w:p>
      <w:pPr>
        <w:pStyle w:val="Heading1"/>
        <w:keepNext/>
      </w:pPr>
      <w:r>
        <w:t>7. Teste de DICOM bruto e generalização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No TCGA-LIHC, 12 casos foram selecionados; um foi excluído antes da inferência por não apresentar três fases seguras. Nos 11 incluídos, os painéis do resolvedor automático foram byte-idênticos aos painéis do mapeamento humano aprovado.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2500"/>
        <w:gridCol w:w="42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Medida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Resultado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Conclusão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Equivalência dos painéis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11/11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O resolvedor de fases não alterou a imagem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Tempo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46,66 s médio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Requisito de até 3 min atendido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Sensibilidade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45,45% (5 TP, 6 FN)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Abaixo da meta; IC95% 21,27–71,99%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Especificidade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Não estimável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Braço continha apenas casos positivos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9E7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B3261E"/>
                <w:sz w:val="22"/>
              </w:rPr>
              <w:t>Diagnóstico do problema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22"/>
              </w:rPr>
              <w:t>A perda no TCGA não veio do DICOM bruto nem da organização automática das fases. O gargalo é a generalização do classificador para uma assinatura de aquisição diferente.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7.1 Braços externos históricos — não combináveis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2000"/>
        <w:gridCol w:w="1600"/>
        <w:gridCol w:w="36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Coorte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Endpoint disponível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Resultado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Limitação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LiverHccSeg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Sensibilidade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78,57%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14 positivos; sem negativos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CHAOS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Especificidade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100,0%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20 negativos; sem positivos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Esses dois braços demonstram comportamento em conjuntos externos específicos, mas não podem ser somados para fabricar uma única métrica 75%/75%: classe e dataset estão completamente confundidos.</w:t>
      </w:r>
    </w:p>
    <w:p>
      <w:pPr>
        <w:pStyle w:val="Heading1"/>
        <w:keepNext/>
      </w:pPr>
      <w:r>
        <w:t>8. Necessidade atual que impede a continuidade científica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O projeto esgotou o que pode concluir de forma responsável com os dados atuais. Todos os quatro subtipos nomeados vêm da mesma coorte LLD-MMRI. Um classificador consegue identificar a coorte de origem com 100% de acurácia, demonstrando forte assinatura de domínio. Assim, não é possível separar completamente aprendizado de morfologia da lesão de aprendizado do protocolo de aquisição.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9E7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B3261E"/>
                <w:sz w:val="22"/>
              </w:rPr>
              <w:t>Bloqueador principal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22"/>
              </w:rPr>
              <w:t>Falta uma segunda coorte real, independente e rotulada, de RM hepática multifásica, proveniente de outra instituição, com HCC, FNH, hemangioma, cisto e fígados sem lesão focal. Sem ela, continuar ajustando no LLD/OpenSwiss aumentaria overfitting e enfraqueceria a publicação.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8.1 Composição recomendada da nova coorte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00"/>
        <w:gridCol w:w="1900"/>
        <w:gridCol w:w="4660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Categoria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Quantidade alvo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Razão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Sem lesão focal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~100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Estimar especificidade com intervalo útil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FNH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~50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Classe escassa e de menor desempenho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Hemangioma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~60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Medir confusão com cisto/FNH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Cisto simples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~60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Reduzir falsos positivos benignos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HCC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~60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Medir sensibilidade da patologia-alvo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Total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~330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Validação e eventual partição de adaptação/teste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8.2 Requisitos mínimos por exame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RM T1 dinâmica pós-contraste com arterial, portal/venosa e tardia.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DICOM ou NIfTI anonimizados na origem; corte preferencial ≤5 mm; 1,5 T ou 3 T.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Rótulo de referência para HCC, FNH, hemangioma, cisto ou ausência de lesão focal.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Instituição/equipamento distintos das coortes atuais; pacientes sem sobreposição.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Revisão por profissional qualificado e protocolo congelado antes da abertura dos labels.</w:t>
      </w:r>
    </w:p>
    <w:p>
      <w:pPr>
        <w:pStyle w:val="Heading1"/>
        <w:keepNext/>
      </w:pPr>
      <w:r>
        <w:t>9. Plano objetivo para concluir a validação</w:t>
      </w:r>
    </w:p>
    <w:p>
      <w:pPr>
        <w:pStyle w:val="ListNumber"/>
        <w:spacing w:after="10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Congelar o bundle de produção, configuração, hashes e versão atual do frontend.</w:t>
      </w:r>
    </w:p>
    <w:p>
      <w:pPr>
        <w:pStyle w:val="ListNumber"/>
        <w:spacing w:after="10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Obter e anonimizar a segunda coorte, mantendo labels e máscaras protegidos.</w:t>
      </w:r>
    </w:p>
    <w:p>
      <w:pPr>
        <w:pStyle w:val="ListNumber"/>
        <w:spacing w:after="10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Separar previamente uma partição de adaptação e uma partição final intocável.</w:t>
      </w:r>
    </w:p>
    <w:p>
      <w:pPr>
        <w:pStyle w:val="ListNumber"/>
        <w:spacing w:after="10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Executar ingestão DICOM label-blind e revisar apenas qualidade técnica/fases/painéis.</w:t>
      </w:r>
    </w:p>
    <w:p>
      <w:pPr>
        <w:pStyle w:val="ListNumber"/>
        <w:spacing w:after="10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Persistir e assinar todas as predições antes de abrir o ground truth.</w:t>
      </w:r>
    </w:p>
    <w:p>
      <w:pPr>
        <w:pStyle w:val="ListNumber"/>
        <w:spacing w:after="10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Abrir os labels uma única vez e calcular sensibilidade, especificidade, matriz de confusão, IC95% e métricas por subtipo.</w:t>
      </w:r>
    </w:p>
    <w:p>
      <w:pPr>
        <w:pStyle w:val="ListNumber"/>
        <w:spacing w:after="10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Se o gate falhar, adaptar somente na partição autorizada; repetir a avaliação final em coorte ainda não vista.</w:t>
      </w:r>
    </w:p>
    <w:p>
      <w:pPr>
        <w:pStyle w:val="ListNumber"/>
        <w:spacing w:after="10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Comparar 4B e 27B no Mac com o mesmo protocolo, sem usar o 27B para substituir a necessidade de dados independentes.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E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E7D32"/>
                <w:sz w:val="22"/>
              </w:rPr>
              <w:t>Critério de encerramento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22"/>
              </w:rPr>
              <w:t>A etapa científica estará concluída apenas se sensibilidade e especificidade forem ≥75% e a acurácia balanceada de subtipo atingir a meta definida em uma coorte independente, com falhas e abstenções mantidas no denominador.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O que pode ser demonstrado ao orientador agora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1700"/>
        <w:gridCol w:w="46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Afirmação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Pode afirmar?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Formulação recomendada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O frontend executa o pipeline completo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Sim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25/25 exames concluídos, com artefatos e métricas auditáveis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O tempo fica abaixo de 3 minutos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Sim, nos lotes medidos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Máximo de 99,23 s no lote frontend; 55,99 s no TCGA incluído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O binário atingiu 75%/75%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Sim, agregado OOF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75,91% sensibilidade e 76,11% especificidade; instabilidade por dataset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O subtipo atingiu 75% em casos novos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Não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61,46% OOF; 96,43% apenas como prova funcional in-sample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Qualquer DICOM aleatório terá o mesmo desempenho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Não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O TCGA mostrou sensibilidade de 45,45% por mudança de domínio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O sistema está validado clinicamente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Não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Uso em pesquisa e revisão humana obrigatória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Formulação-síntese recomendada: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63A5F"/>
                <w:sz w:val="22"/>
              </w:rPr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22"/>
              </w:rPr>
              <w:t>“O ARGOS consolidou um pipeline funcional de RM hepática multifásica, com execução real pelo frontend em menos de três minutos. O classificador binário atingiu 75,91% de sensibilidade e 76,11% de especificidade em nested-OOF. A etapa pendente é a validação independente e multi-institucional, principalmente para identificação de subtipo, cujo melhor resultado defensável permanece 61,46%.”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Rastreabilidade da evidência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Os números e conclusões deste relatório foram consolidados dos artefatos locais abaixo: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docs/123_ETAPA_C_PRODUCAO_E_BENCHMARK_VISUAL.md — endpoint binário e bundle de produção.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docs/156_SUBTIPO_HONESTO_FUSAO.md — medição honesta e limites do subtipo.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docs/157_ESPECIFICACAO_SEGUNDA_COORTE.md — necessidade e composição da nova coorte.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docs/161_SUBTIPO_E_CONDICIONADO_A_COORTE.md — evidência de condicionamento por domínio.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docs/168_VALIDACAO_DICOM_BRUTO_PAREADA.md — equivalência do resolvedor de fases e TCGA.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docs/170_BENCHMARK_PATOLOGIA_VARIACAO.md — contrato e metodologia do benchmark web.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docs/171_RESULTADO_BENCHMARK_FRONTEND_PATOLOGIA_VARIACAO.md — execução frontend 9a736ea3cfee.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casos/webapp/benchmarks/9a736ea3cfee/ — manifestos, métricas e artefatos da execução.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9E7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B3261E"/>
                <w:sz w:val="22"/>
              </w:rPr>
              <w:t>Nota final de segurança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22"/>
              </w:rPr>
              <w:t>O ARGOS permanece uma ferramenta de pesquisa. Nenhuma saída deve ser usada isoladamente para diagnóstico, e toda análise exige revisão humana.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267" w:bottom="979" w:left="1267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8737D"/>
        <w:sz w:val="17"/>
      </w:rPr>
      <w:t xml:space="preserve">Uso em pesquisa · revisão humana obrigatória  |  </w:t>
    </w:r>
    <w:r>
      <w:rPr>
        <w:rFonts w:ascii="Calibri" w:hAnsi="Calibri"/>
        <w:b w:val="0"/>
        <w:i w:val="0"/>
        <w:color w:val="68737D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8737D"/>
        <w:sz w:val="17"/>
      </w:rPr>
      <w:t>ARGOS  |  Relatório técnico de pesquisa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6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00" w:line="264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4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ARGOS — Métricas, pipeline e estado atual</dc:title>
  <dc:subject>Relatório consolidado de pesquisa em RM hepática</dc:subject>
  <dc:creator>Projeto ARGOS</dc:creator>
  <cp:keywords>ARGOS, RM hepática, MedSigLIP, benchmark, sensibilidade, especificidade, subtipo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