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AA" w:rsidRPr="00A60A84" w:rsidRDefault="00A60A84" w:rsidP="00A60A84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Justificativa</w:t>
      </w:r>
    </w:p>
    <w:p w:rsidR="00A60A84" w:rsidRDefault="00A60A84">
      <w:pPr>
        <w:rPr>
          <w:rFonts w:ascii="Arial" w:hAnsi="Arial" w:cs="Arial"/>
          <w:sz w:val="24"/>
          <w:szCs w:val="24"/>
        </w:rPr>
      </w:pPr>
    </w:p>
    <w:p w:rsidR="00A60A84" w:rsidRDefault="00634DAA" w:rsidP="00A60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Encontrar um lugar para estacionar nas ruas de são Paulo é extremamente difícil</w:t>
      </w:r>
      <w:r w:rsidR="00A60A84">
        <w:rPr>
          <w:rFonts w:ascii="Arial" w:hAnsi="Arial" w:cs="Arial"/>
          <w:sz w:val="24"/>
          <w:szCs w:val="24"/>
        </w:rPr>
        <w:t>. P</w:t>
      </w:r>
      <w:r>
        <w:rPr>
          <w:rFonts w:ascii="Arial" w:hAnsi="Arial" w:cs="Arial"/>
          <w:sz w:val="24"/>
          <w:szCs w:val="24"/>
        </w:rPr>
        <w:t>esquisas apontam que São Paulo é a segunda capital do mundo para se estacionar, são</w:t>
      </w:r>
      <w:r w:rsidR="009F707D">
        <w:rPr>
          <w:rFonts w:ascii="Arial" w:hAnsi="Arial" w:cs="Arial"/>
          <w:sz w:val="24"/>
          <w:szCs w:val="24"/>
        </w:rPr>
        <w:t xml:space="preserve"> 384 mil vagas para 509 mil carros que ocupam a região (vide gráfico), tendo um déficit de 125 mil vagas</w:t>
      </w:r>
      <w:r w:rsidR="00A27BD2">
        <w:rPr>
          <w:rFonts w:ascii="Arial" w:hAnsi="Arial" w:cs="Arial"/>
          <w:sz w:val="24"/>
          <w:szCs w:val="24"/>
        </w:rPr>
        <w:t>.</w:t>
      </w:r>
      <w:r w:rsidR="00A60A84">
        <w:rPr>
          <w:rFonts w:ascii="Arial" w:hAnsi="Arial" w:cs="Arial"/>
          <w:sz w:val="24"/>
          <w:szCs w:val="24"/>
        </w:rPr>
        <w:t xml:space="preserve"> além de difícil, estacionar em São Paulo pode ser muito caro, </w:t>
      </w:r>
      <w:proofErr w:type="gramStart"/>
      <w:r w:rsidR="00A60A84">
        <w:rPr>
          <w:rFonts w:ascii="Arial" w:hAnsi="Arial" w:cs="Arial"/>
          <w:sz w:val="24"/>
          <w:szCs w:val="24"/>
        </w:rPr>
        <w:t>um motorista gasta</w:t>
      </w:r>
      <w:proofErr w:type="gramEnd"/>
      <w:r w:rsidR="00A60A84">
        <w:rPr>
          <w:rFonts w:ascii="Arial" w:hAnsi="Arial" w:cs="Arial"/>
          <w:sz w:val="24"/>
          <w:szCs w:val="24"/>
        </w:rPr>
        <w:t xml:space="preserve"> em são Paulo, por ano, cerca de 2000 reais com estacionamento.</w:t>
      </w:r>
      <w:r w:rsidR="00A27BD2">
        <w:rPr>
          <w:rFonts w:ascii="Arial" w:hAnsi="Arial" w:cs="Arial"/>
          <w:sz w:val="24"/>
          <w:szCs w:val="24"/>
        </w:rPr>
        <w:t xml:space="preserve"> Ainda que em São Paulo tenhamos o serviço zona azul (que hoje opera 43.843 vagas) é difícil localizar essas vagas e mais ainda encontrar uma vaga disponível.</w:t>
      </w:r>
    </w:p>
    <w:p w:rsidR="009F707D" w:rsidRDefault="009F707D" w:rsidP="00A60A8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93FCEAA" wp14:editId="3FE81A03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hyperlink r:id="rId5" w:history="1">
        <w:r>
          <w:rPr>
            <w:rStyle w:val="Hyperlink"/>
          </w:rPr>
          <w:t>https://exame.abril.com.br/brasil/estacionamentos-os-novos-viloes-da-mobilidade-urbana/</w:t>
        </w:r>
      </w:hyperlink>
    </w:p>
    <w:p w:rsidR="009F707D" w:rsidRDefault="009F707D" w:rsidP="00A60A84">
      <w:pPr>
        <w:rPr>
          <w:rFonts w:ascii="Arial" w:hAnsi="Arial" w:cs="Arial"/>
          <w:sz w:val="24"/>
          <w:szCs w:val="24"/>
        </w:rPr>
      </w:pPr>
    </w:p>
    <w:p w:rsidR="00634DAA" w:rsidRDefault="00A60A84" w:rsidP="00A60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conta disso, o</w:t>
      </w:r>
      <w:r w:rsidR="00A27BD2">
        <w:rPr>
          <w:rFonts w:ascii="Arial" w:hAnsi="Arial" w:cs="Arial"/>
          <w:sz w:val="24"/>
          <w:szCs w:val="24"/>
        </w:rPr>
        <w:t xml:space="preserve"> serviço </w:t>
      </w:r>
      <w:r w:rsidR="009F707D">
        <w:rPr>
          <w:rFonts w:ascii="Arial" w:hAnsi="Arial" w:cs="Arial"/>
          <w:sz w:val="24"/>
          <w:szCs w:val="24"/>
        </w:rPr>
        <w:t>MySpot</w:t>
      </w:r>
      <w:bookmarkStart w:id="0" w:name="_GoBack"/>
      <w:bookmarkEnd w:id="0"/>
      <w:r w:rsidR="00A27BD2">
        <w:rPr>
          <w:rFonts w:ascii="Arial" w:hAnsi="Arial" w:cs="Arial"/>
          <w:sz w:val="24"/>
          <w:szCs w:val="24"/>
        </w:rPr>
        <w:t xml:space="preserve"> vem para solucionar problemas dos dois lados: disponibilizar uma forma o motorista economizar tempo e d</w:t>
      </w:r>
      <w:r>
        <w:rPr>
          <w:rFonts w:ascii="Arial" w:hAnsi="Arial" w:cs="Arial"/>
          <w:sz w:val="24"/>
          <w:szCs w:val="24"/>
        </w:rPr>
        <w:t xml:space="preserve">inheiro encontrando facilmente vagas disponíveis e ajudar a CET no controle de dados e informações sobre o transito, horários de fluxo e regiões mais procuradas para estacionar e facilitar o uso </w:t>
      </w:r>
      <w:proofErr w:type="gramStart"/>
      <w:r>
        <w:rPr>
          <w:rFonts w:ascii="Arial" w:hAnsi="Arial" w:cs="Arial"/>
          <w:sz w:val="24"/>
          <w:szCs w:val="24"/>
        </w:rPr>
        <w:t>do zona azul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270AE" w:rsidRPr="00634DAA" w:rsidRDefault="001270AE" w:rsidP="00A60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contara com uma aplicação para o motorista e outra para o gestor do estacionamento. Sensores de presença registram a disponibilidade das vagas e coletam dados que ficarão registrados em um banco de dados. O aplicativo para o motorista mostrará a disponibilidade de vagas, já o para o gestor exibira dados e estatísticas sobre o uso, frequência e perfil do uso das vagas.</w:t>
      </w:r>
    </w:p>
    <w:sectPr w:rsidR="001270AE" w:rsidRPr="00634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AA"/>
    <w:rsid w:val="001270AE"/>
    <w:rsid w:val="00634DAA"/>
    <w:rsid w:val="009F707D"/>
    <w:rsid w:val="00A27BD2"/>
    <w:rsid w:val="00A60A84"/>
    <w:rsid w:val="00C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4C28"/>
  <w15:chartTrackingRefBased/>
  <w15:docId w15:val="{1D2324AF-53A6-412C-9078-8CD3C33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F7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e.abril.com.br/brasil/estacionamentos-os-novos-viloes-da-mobilidade-urbana/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Relação:</a:t>
            </a:r>
            <a:r>
              <a:rPr lang="pt-BR" baseline="0"/>
              <a:t> vagas X carros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Demanda (mil)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Planilha1!$B$2</c:f>
              <c:numCache>
                <c:formatCode>General</c:formatCode>
                <c:ptCount val="1"/>
                <c:pt idx="0">
                  <c:v>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D2-4251-9A10-53B1D8ADFF0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Número de vagas (mil)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Planilha1!$C$2</c:f>
              <c:numCache>
                <c:formatCode>General</c:formatCode>
                <c:ptCount val="1"/>
                <c:pt idx="0">
                  <c:v>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D2-4251-9A10-53B1D8ADF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8273936"/>
        <c:axId val="1878272688"/>
      </c:barChart>
      <c:catAx>
        <c:axId val="187827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78272688"/>
        <c:crosses val="autoZero"/>
        <c:auto val="1"/>
        <c:lblAlgn val="ctr"/>
        <c:lblOffset val="100"/>
        <c:noMultiLvlLbl val="0"/>
      </c:catAx>
      <c:valAx>
        <c:axId val="187827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7827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2020-02-27T21:06:00Z</dcterms:created>
  <dcterms:modified xsi:type="dcterms:W3CDTF">2020-02-27T21:06:00Z</dcterms:modified>
</cp:coreProperties>
</file>