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Autor: Felipe Rodrigo de Moraes Mendes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Título: Open source software for budget forecasting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mfkvdsv8apny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Demandas profissionais e acadêmicas para a aplicação de métodos de previsão podem não serem acompanhadas da disponibilidade de ferramentas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softwares</w:t>
      </w:r>
      <w:r w:rsidDel="00000000" w:rsidR="00000000" w:rsidRPr="00000000">
        <w:rPr>
          <w:sz w:val="20"/>
          <w:szCs w:val="20"/>
          <w:rtl w:val="0"/>
        </w:rPr>
        <w:t xml:space="preserve"> comerciais para esse fim, como o SAS, Crystal Ball e Minitab</w:t>
      </w:r>
      <w:r w:rsidDel="00000000" w:rsidR="00000000" w:rsidRPr="00000000">
        <w:rPr>
          <w:sz w:val="20"/>
          <w:szCs w:val="20"/>
          <w:rtl w:val="0"/>
        </w:rPr>
        <w:t xml:space="preserve">. Esse texto argumenta que a utilização da linguagem de programação Python, um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 livre, pode ser uma alternativa que alia a flexibilidade de uma linguagem de programação com uma abordagem intuitiva. Como estudo de caso utilizou-se dados da execução orçamentária da Universidade Federal de Itajubá, consumidas por meio de uma </w:t>
      </w:r>
      <w:r w:rsidDel="00000000" w:rsidR="00000000" w:rsidRPr="00000000">
        <w:rPr>
          <w:i w:val="1"/>
          <w:sz w:val="20"/>
          <w:szCs w:val="20"/>
          <w:rtl w:val="0"/>
        </w:rPr>
        <w:t xml:space="preserve">application programing interface </w:t>
      </w:r>
      <w:r w:rsidDel="00000000" w:rsidR="00000000" w:rsidRPr="00000000">
        <w:rPr>
          <w:sz w:val="20"/>
          <w:szCs w:val="20"/>
          <w:rtl w:val="0"/>
        </w:rPr>
        <w:t xml:space="preserve">(API), publicamente disponível no Portal Transparência, do Governo Federal. A aplicação do método de Holt-Winters foi feita para quatro cenários, considerando as quatro combinações possíveis entre ajustes na tendência e na sazonalidade, aditivas ou multiplicativas. O cenário com tendência e sazonalidade multiplicativa possui menor </w:t>
      </w:r>
      <w:r w:rsidDel="00000000" w:rsidR="00000000" w:rsidRPr="00000000">
        <w:rPr>
          <w:i w:val="1"/>
          <w:sz w:val="20"/>
          <w:szCs w:val="20"/>
          <w:rtl w:val="0"/>
        </w:rPr>
        <w:t xml:space="preserve">root mean squared error</w:t>
      </w:r>
      <w:r w:rsidDel="00000000" w:rsidR="00000000" w:rsidRPr="00000000">
        <w:rPr>
          <w:sz w:val="20"/>
          <w:szCs w:val="20"/>
          <w:rtl w:val="0"/>
        </w:rPr>
        <w:t xml:space="preserve"> e o menor </w:t>
      </w:r>
      <w:r w:rsidDel="00000000" w:rsidR="00000000" w:rsidRPr="00000000">
        <w:rPr>
          <w:i w:val="1"/>
          <w:sz w:val="20"/>
          <w:szCs w:val="20"/>
          <w:rtl w:val="0"/>
        </w:rPr>
        <w:t xml:space="preserve">mean absolut error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sz w:val="24"/>
          <w:szCs w:val="24"/>
          <w:rtl w:val="0"/>
        </w:rPr>
        <w:t xml:space="preserve">: orçamento federal; previsão; python.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pjeyy2b9nqad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rganizações de todos os ramos de atuação e tamanho podem se beneficiar do uso de técnicas de previsão para planejar seu orçamento. Isso não é diferente para instituições de ensino superior públicas brasileiras. No presente trabalho, dados orçamentários e de execução da despesa da Universidade Federal de Itajubá são utilizados para como estudo de caso na aplicação da linguagem de programação Python para previsão de séries temporais.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previsão orçamentária, dois aspectos devem ser observados, conforme exposto por Williams e Calabrese (2016) e Penner (2019): o período de previsão e se a previsão terá como objeto receitas ou despesas. Williams e Calabrese (2016) informam que os usos de previsão aplicadas no orçamento podem ser aplicados no processo para três diferentes períodos: (1) existe a previsão intra ano, chamada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current year</w:t>
      </w:r>
      <w:r w:rsidDel="00000000" w:rsidR="00000000" w:rsidRPr="00000000">
        <w:rPr>
          <w:sz w:val="24"/>
          <w:szCs w:val="24"/>
          <w:rtl w:val="0"/>
        </w:rPr>
        <w:t xml:space="preserve">, onde se utilizam dados para previsão dentro do ano corrente; (2) a previsão para o ano orçamentário, chamado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budget year</w:t>
      </w:r>
      <w:r w:rsidDel="00000000" w:rsidR="00000000" w:rsidRPr="00000000">
        <w:rPr>
          <w:sz w:val="24"/>
          <w:szCs w:val="24"/>
          <w:rtl w:val="0"/>
        </w:rPr>
        <w:t xml:space="preserve">, onde se busca prever o orçamento do ano seguinte ao ano corrente e (3) previsão para anos posteriores, chamado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 years</w:t>
      </w:r>
      <w:r w:rsidDel="00000000" w:rsidR="00000000" w:rsidRPr="00000000">
        <w:rPr>
          <w:sz w:val="24"/>
          <w:szCs w:val="24"/>
          <w:rtl w:val="0"/>
        </w:rPr>
        <w:t xml:space="preserve">, onde a previsão ocorre a partir do final do ano orçamentário. Ainda segundo Williams e Calabrese (2016), os mesmos autores, em cada período pode-se focar em prever dados referentes às diversas formas de receitas do órgão ou dados referentes à previsão das despesas a serem executadas.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Penner (2019) relativiza a ação de prever apontando que previsões de longo prazo podem gerar mais erros quando comparadas a previsões de curto prazo (até um ano). Contudo, o autor afirma que previsões não precisam estar corretas para apresentar valor e que identificar a direção na qual receitas e despesas estão caminhando já pode ser útil (PENNER, 2019, p. 116).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prático, Williams e Calabrese (2016) apontam que o uso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 computacionais facilitam as aplicações práticas de métodos para previsão orçamentária, pois as complexas modelagens matemáticas e os seus respectivos cálculos são realizados pela máquina e o usuário opera o sistema por meio de interfaces gráficas. Contudo, o uso de </w:t>
      </w:r>
      <w:r w:rsidDel="00000000" w:rsidR="00000000" w:rsidRPr="00000000">
        <w:rPr>
          <w:sz w:val="24"/>
          <w:szCs w:val="24"/>
          <w:rtl w:val="0"/>
        </w:rPr>
        <w:t xml:space="preserve">pacotes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comerciais como o SAS, o Crystal Ball e o Minitab tem alto custo e podem não estar disponíveis na realidade do profissional. Os autores apontam como uma alternativa o uso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</w:t>
      </w:r>
      <w:r w:rsidDel="00000000" w:rsidR="00000000" w:rsidRPr="00000000">
        <w:rPr>
          <w:sz w:val="24"/>
          <w:szCs w:val="24"/>
          <w:rtl w:val="0"/>
        </w:rPr>
        <w:t xml:space="preserve">estatístico </w:t>
      </w:r>
      <w:r w:rsidDel="00000000" w:rsidR="00000000" w:rsidRPr="00000000">
        <w:rPr>
          <w:sz w:val="24"/>
          <w:szCs w:val="24"/>
          <w:rtl w:val="0"/>
        </w:rPr>
        <w:t xml:space="preserve">“R”. Contudo, esse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apresenta alta curva de aprendizado e demanda conhecimento técnico específico do usuário, uma vez que os modelos e interações matemáticas devem ser previamente programadas na linguagem própria do programa.</w:t>
      </w:r>
    </w:p>
    <w:p w:rsidR="00000000" w:rsidDel="00000000" w:rsidP="00000000" w:rsidRDefault="00000000" w:rsidRPr="00000000" w14:paraId="0000000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uma solução, que é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 source</w:t>
      </w:r>
      <w:r w:rsidDel="00000000" w:rsidR="00000000" w:rsidRPr="00000000">
        <w:rPr>
          <w:sz w:val="24"/>
          <w:szCs w:val="24"/>
          <w:rtl w:val="0"/>
        </w:rPr>
        <w:t xml:space="preserve"> como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sz w:val="24"/>
          <w:szCs w:val="24"/>
          <w:rtl w:val="0"/>
        </w:rPr>
        <w:t xml:space="preserve"> “R”mas que apresenta curva de aprendizado menor é a linguagem de programação Python, que conta com pacotes específicos para a análise de séries temporais, previsão e diagramação de gráficos. Nesse sentido, Garita (2021) apresenta três principais razões para o uso da linguagem Python: (1) a linguagem é de fácil uso e a curva de aprendizado é mais achatada (comparada com o “R”) e a forma de programação é intuitiva; (2) o Python apresenta um recurso chamado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Jupyter Notebooks</w:t>
      </w:r>
      <w:r w:rsidDel="00000000" w:rsidR="00000000" w:rsidRPr="00000000">
        <w:rPr>
          <w:sz w:val="24"/>
          <w:szCs w:val="24"/>
          <w:rtl w:val="0"/>
        </w:rPr>
        <w:t xml:space="preserve">, que confluem um editor de código interativo que permite a execução de linhas de código individualmente, com funcionalidades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markdown</w:t>
      </w:r>
      <w:r w:rsidDel="00000000" w:rsidR="00000000" w:rsidRPr="00000000">
        <w:rPr>
          <w:sz w:val="24"/>
          <w:szCs w:val="24"/>
          <w:rtl w:val="0"/>
        </w:rPr>
        <w:t xml:space="preserve">, para anotações em texto, e (3) existem bibliotecas dedicadas a diagramação de gráficos, como a biblioteca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forma de demonstrar a aplicação da linguagem Python no contexto da previsão de dados orçamentários, recorreu-se à busca por dados abertos do orçamento e da execução de despesas da Universidade Federal de Itajubá (Unifei). Após essa introdução, a próxima seção mostra as fontes dos dados e os métodos aplicados para sua coleta e análise. Na terceira seção, os resultados práticos da aplicação do método preditivo são mostrados. Na quarta seção, apresentam-se as conclusões.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50fmvxy30mp" w:id="2"/>
      <w:bookmarkEnd w:id="2"/>
      <w:r w:rsidDel="00000000" w:rsidR="00000000" w:rsidRPr="00000000">
        <w:rPr>
          <w:rtl w:val="0"/>
        </w:rPr>
        <w:t xml:space="preserve">Caminhos metodológicos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os objetivos de determinar qual fonte de dados utilizar para obter as séries temporais e escolher o método adequado para sua análise, buscou-se dados de fontes governamentais, uma vez que o governo brasileiro disponibiliza acesso público a dados orçamentários e de realização da despesa de seus órgãos.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recorreu-se ao Sistema Integrado de Planejamento e Orçamento (SIOP), disponível em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https://www.siop.gov.br/</w:t>
        </w:r>
      </w:hyperlink>
      <w:r w:rsidDel="00000000" w:rsidR="00000000" w:rsidRPr="00000000">
        <w:rPr>
          <w:sz w:val="24"/>
          <w:szCs w:val="24"/>
          <w:rtl w:val="0"/>
        </w:rPr>
        <w:t xml:space="preserve">. Contudo, os dados disponíveis são limitados e mostram uma janela temporal anual com apenas 22 observações, referentes aos anos de 2000 a 2021. O resumo gráfico desses dados encontra-se na Figura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Figura 1 - Orçamento da Unifei em milhões de reais (verbas discricionárias)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0190" cy="2658197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190" cy="265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Fonte: contribuição do autor, com base em consulta realizada ao SIOP)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contornar essa limitação dos dados, recorreu-se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application programming interface</w:t>
      </w:r>
      <w:r w:rsidDel="00000000" w:rsidR="00000000" w:rsidRPr="00000000">
        <w:rPr>
          <w:sz w:val="24"/>
          <w:szCs w:val="24"/>
          <w:rtl w:val="0"/>
        </w:rPr>
        <w:t xml:space="preserve"> ou API, do Portal Transparência, disponível em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http://www.portaltransparencia.gov.br/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onde foi possível coletar dados da execução de despesa da Unifei. Essa nova fonte de dados apresenta evolução mensal em 94 pontos de dados, referentes a janeiro de 2014 até outubro de 2021. O resumo gráfico desses dados encontra-se na Figura 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Figura 2 - Execução da Despesa Mensal - Jan. de 2014 até out. de 2021 da Unifei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69023" cy="320352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023" cy="3203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Fonte: contribuição do autor.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do gráfico da Figura aponta duas características desse conjunto de dados: (1) ele apresenta tendência geral de crescimento, pois a amplitude de variação do primeiro ano varia, aproximadamente, entre R$ 12 milhões até R$ 20 milhões, em 2014, e varia, aproximadamente, entre R$ 20 milhões até R$ 24 milhões, em 2021; (2) apresenta sazonalidade, com expressiva alta na execução orçamentária nos meses de novembro e dezembro de cada ano.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Comparando-se os dados resultantes das consultas feitas, optou-se por se utilizar os dados do Portal Transparência por duas razões: (1) apresenta mais dados, 94 observações comparadas com as 22 observações do SIOP e (2) apresenta características de tendência e sazonalidade.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Escolhida a fonte de dados, partiu-se para a definição de qual método de previsão utilizar. Consultando referências especializadas, as três fontes foram unânimes ao apontarem o método de Holt-Winter de alisamento exponencial (MILLS, 2019, p. 153; MONTGOMERY; JENNINGS; KULAHCI, 2015, p. 277; SHMUELI; LICHTENDAHL JR., 2016, p. 95). Esse método permite que padrões no nível, na tendência e na sazonalidade mudem no tempo. Ademais, esse método admite componentes aditivos e componentes multiplicativos, conforme exemplificados no Quadro 1. Considerando que existem quatro combinações possíveis entre tendências e sazonalidades aditivas e multiplicativas, quatro cenários foram criados, conforme foram destacados na seção de resultados.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 métricas de erro, serão utilizadas a </w:t>
      </w:r>
      <w:r w:rsidDel="00000000" w:rsidR="00000000" w:rsidRPr="00000000">
        <w:rPr>
          <w:i w:val="1"/>
          <w:sz w:val="24"/>
          <w:szCs w:val="24"/>
          <w:rtl w:val="0"/>
        </w:rPr>
        <w:t xml:space="preserve">mean absolute error</w:t>
      </w:r>
      <w:r w:rsidDel="00000000" w:rsidR="00000000" w:rsidRPr="00000000">
        <w:rPr>
          <w:sz w:val="24"/>
          <w:szCs w:val="24"/>
          <w:rtl w:val="0"/>
        </w:rPr>
        <w:t xml:space="preserve"> (MAE) 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root mean squared error</w:t>
      </w:r>
      <w:r w:rsidDel="00000000" w:rsidR="00000000" w:rsidRPr="00000000">
        <w:rPr>
          <w:sz w:val="24"/>
          <w:szCs w:val="24"/>
          <w:rtl w:val="0"/>
        </w:rPr>
        <w:t xml:space="preserve"> (RMSE), como visto em Shmueli e Lichtendahl Jr. (2016, p. 55) e resumidos no Quadro 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Quadro 1 - Exemplos das formulações de modelos aditivos e multiplicativos.</w:t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759.0000000000005"/>
        <w:gridCol w:w="3890.9999999999995"/>
        <w:tblGridChange w:id="0">
          <w:tblGrid>
            <w:gridCol w:w="2535"/>
            <w:gridCol w:w="3759.0000000000005"/>
            <w:gridCol w:w="3890.999999999999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Equações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Tendência aditiva e sazonalidade multiplicativa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Tendência e sazonalidade aditivas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771650" cy="295275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09775" cy="314325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 do nível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28825" cy="2032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28825" cy="21590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 da tendência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28825" cy="215900"/>
                  <wp:effectExtent b="0" l="0" r="0" t="0"/>
                  <wp:docPr id="1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333625" cy="29210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 da sazonalidade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028825" cy="26670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304300" cy="294614"/>
                  <wp:effectExtent b="0" l="0" r="0" t="0"/>
                  <wp:docPr id="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300" cy="2946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Fonte: resumo proposto pelo autor, adaptado de Shmueli e Lichtendahl Jr. (2016).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variáveis descritas no Quadro 1 significam: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</m:t>
            </m:r>
          </m:e>
          <m:sub>
            <m:r>
              <w:rPr>
                <w:sz w:val="24"/>
                <w:szCs w:val="24"/>
              </w:rPr>
              <m:t xml:space="preserve">t+k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previsão para o próximo período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no período atual </w:t>
      </w:r>
      <w:r w:rsidDel="00000000" w:rsidR="00000000" w:rsidRPr="00000000">
        <w:rPr>
          <w:i w:val="1"/>
          <w:sz w:val="24"/>
          <w:szCs w:val="24"/>
          <w:rtl w:val="0"/>
        </w:rPr>
        <w:t xml:space="preserve">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nível, do inglês </w:t>
      </w:r>
      <w:r w:rsidDel="00000000" w:rsidR="00000000" w:rsidRPr="00000000">
        <w:rPr>
          <w:i w:val="1"/>
          <w:sz w:val="24"/>
          <w:szCs w:val="24"/>
          <w:rtl w:val="0"/>
        </w:rPr>
        <w:t xml:space="preserve">level</w:t>
      </w:r>
      <w:r w:rsidDel="00000000" w:rsidR="00000000" w:rsidRPr="00000000">
        <w:rPr>
          <w:sz w:val="24"/>
          <w:szCs w:val="24"/>
          <w:rtl w:val="0"/>
        </w:rPr>
        <w:t xml:space="preserve">, que descreve o valor médio da série no período atual </w:t>
      </w:r>
      <w:r w:rsidDel="00000000" w:rsidR="00000000" w:rsidRPr="00000000">
        <w:rPr>
          <w:i w:val="1"/>
          <w:sz w:val="24"/>
          <w:szCs w:val="24"/>
          <w:rtl w:val="0"/>
        </w:rPr>
        <w:t xml:space="preserve">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T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tendência, do inglês </w:t>
      </w:r>
      <w:r w:rsidDel="00000000" w:rsidR="00000000" w:rsidRPr="00000000">
        <w:rPr>
          <w:i w:val="1"/>
          <w:sz w:val="24"/>
          <w:szCs w:val="24"/>
          <w:rtl w:val="0"/>
        </w:rPr>
        <w:t xml:space="preserve">trend</w:t>
      </w:r>
      <w:r w:rsidDel="00000000" w:rsidR="00000000" w:rsidRPr="00000000">
        <w:rPr>
          <w:sz w:val="24"/>
          <w:szCs w:val="24"/>
          <w:rtl w:val="0"/>
        </w:rPr>
        <w:t xml:space="preserve">, descreve a mudança de valores no período atual 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comparado com períodos anteriores;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S</m:t>
            </m:r>
          </m:e>
          <m:sub>
            <m:r>
              <w:rPr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: sazonalidade, do inglês </w:t>
      </w:r>
      <w:r w:rsidDel="00000000" w:rsidR="00000000" w:rsidRPr="00000000">
        <w:rPr>
          <w:i w:val="1"/>
          <w:sz w:val="24"/>
          <w:szCs w:val="24"/>
          <w:rtl w:val="0"/>
        </w:rPr>
        <w:t xml:space="preserve">seasonality</w:t>
      </w:r>
      <w:r w:rsidDel="00000000" w:rsidR="00000000" w:rsidRPr="00000000">
        <w:rPr>
          <w:sz w:val="24"/>
          <w:szCs w:val="24"/>
          <w:rtl w:val="0"/>
        </w:rPr>
        <w:t xml:space="preserve">, que descreve um comportamento cíclico, no período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, que pode ser observado repetidas vezes na série;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m:oMath>
        <m:r>
          <m:t>α</m:t>
        </m:r>
        <m:r>
          <w:rPr>
            <w:sz w:val="24"/>
            <w:szCs w:val="24"/>
          </w:rPr>
          <m:t xml:space="preserve">, </m:t>
        </m:r>
        <m:r>
          <w:rPr>
            <w:sz w:val="24"/>
            <w:szCs w:val="24"/>
          </w:rPr>
          <m:t>β</m:t>
        </m:r>
        <m:r>
          <w:rPr>
            <w:sz w:val="24"/>
            <w:szCs w:val="24"/>
          </w:rPr>
          <m:t xml:space="preserve"> e </m:t>
        </m:r>
        <m:r>
          <w:rPr>
            <w:sz w:val="24"/>
            <w:szCs w:val="24"/>
          </w:rPr>
          <m:t>γ</m:t>
        </m:r>
      </m:oMath>
      <w:r w:rsidDel="00000000" w:rsidR="00000000" w:rsidRPr="00000000">
        <w:rPr>
          <w:sz w:val="24"/>
          <w:szCs w:val="24"/>
          <w:rtl w:val="0"/>
        </w:rPr>
        <w:t xml:space="preserve">: constantes de alisamento ligadas, respectivamente, ao nível, tendência e sazonalidade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: temporadas da sazonalidade.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Quadro 2 - Resumo das métricas de erro que foram utilizadas.</w:t>
      </w:r>
    </w:p>
    <w:tbl>
      <w:tblPr>
        <w:tblStyle w:val="Table2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3759.0000000000005"/>
        <w:gridCol w:w="3890.9999999999995"/>
        <w:tblGridChange w:id="0">
          <w:tblGrid>
            <w:gridCol w:w="2535"/>
            <w:gridCol w:w="3759.0000000000005"/>
            <w:gridCol w:w="3890.999999999999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Métrica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Formulação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Implicação prática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Forecast error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251675" cy="446076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675" cy="446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Diferença entre o valor atual e o valor da previsão.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Mean absolute error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68795" cy="479867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95" cy="479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Essa métrica fornece a magnitude do erro absoluto médio.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Root mean squared error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142527" cy="53821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527" cy="538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Raiz quadrada do erro médio ao quadrado. Essa medida apresenta as mesmas unidades que a série temporal original.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Fonte: resumo proposto pelo autor, adaptado de Shmueli e Lichtendahl Jr. (2016).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Definida qual a fonte de dados utilizar e qual método aplicar nos dados, é necessário definir como se dará a aplicação em Python. Para tal, as seguintes bibliotecas foram utilizadas: (1) </w:t>
      </w:r>
      <w:r w:rsidDel="00000000" w:rsidR="00000000" w:rsidRPr="00000000">
        <w:rPr>
          <w:i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, utilizada para leitura dos dados e sua organização em formato tabular; (2) </w:t>
      </w:r>
      <w:r w:rsidDel="00000000" w:rsidR="00000000" w:rsidRPr="00000000">
        <w:rPr>
          <w:i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, utilizada para a geração de gráficos 2D; (3)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statsmodels</w:t>
      </w:r>
      <w:r w:rsidDel="00000000" w:rsidR="00000000" w:rsidRPr="00000000">
        <w:rPr>
          <w:sz w:val="24"/>
          <w:szCs w:val="24"/>
          <w:rtl w:val="0"/>
        </w:rPr>
        <w:t xml:space="preserve">, utilizada para decompor a série temporal e realizar o alisamento exponencial de Holt Winters e (4) </w:t>
      </w:r>
      <w:r w:rsidDel="00000000" w:rsidR="00000000" w:rsidRPr="00000000">
        <w:rPr>
          <w:i w:val="1"/>
          <w:sz w:val="24"/>
          <w:szCs w:val="24"/>
          <w:rtl w:val="0"/>
        </w:rPr>
        <w:t xml:space="preserve">scikit-learn</w:t>
      </w:r>
      <w:r w:rsidDel="00000000" w:rsidR="00000000" w:rsidRPr="00000000">
        <w:rPr>
          <w:sz w:val="24"/>
          <w:szCs w:val="24"/>
          <w:rtl w:val="0"/>
        </w:rPr>
        <w:t xml:space="preserve">, utilizado para quantificar as métricas de erro do modelo. Os dados 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scripts</w:t>
      </w:r>
      <w:r w:rsidDel="00000000" w:rsidR="00000000" w:rsidRPr="00000000">
        <w:rPr>
          <w:sz w:val="24"/>
          <w:szCs w:val="24"/>
          <w:rtl w:val="0"/>
        </w:rPr>
        <w:t xml:space="preserve"> utilizados para gerar os resultados estão publicamente disponíveis em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https://bit.ly/PQM14_PrevisaoUnifei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próxima seção os resultados da aplicação da linguagem Python aos dados serão mostrados.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w7bztavip2j5" w:id="3"/>
      <w:bookmarkEnd w:id="3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4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biblioteca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statsmodels</w:t>
      </w:r>
      <w:r w:rsidDel="00000000" w:rsidR="00000000" w:rsidRPr="00000000">
        <w:rPr>
          <w:sz w:val="24"/>
          <w:szCs w:val="24"/>
          <w:rtl w:val="0"/>
        </w:rPr>
        <w:t xml:space="preserve"> possui recurso que permite decompor a série temporal e visualizar graficamente seus componentes, conforme Figura 3. É possível concluir que os dados apresentam tendência positiva crescente e sazonalidade, com picos menores, registrados nos meses de junho de cada ano e picos maiores, registrados nos meses de novembro de cada ano.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Figura 3 - decomposição da série temporal utilizando o modelo multiplicativo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9470" cy="3277481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470" cy="327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Fonte: contribuição do autor.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condução dos experimentos, representou-se graficamente os dados utilizados como treinamento, os dados de teste e os dados da previsão. O resumo gráfico está presente na Figura 4.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4 - Resumo gráfico dos quatro cenários</w:t>
      </w:r>
    </w:p>
    <w:tbl>
      <w:tblPr>
        <w:tblStyle w:val="Table3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.5"/>
        <w:gridCol w:w="5103.5"/>
        <w:tblGridChange w:id="0">
          <w:tblGrid>
            <w:gridCol w:w="5103.5"/>
            <w:gridCol w:w="5103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232410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23368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3.621093750002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2336800"/>
                  <wp:effectExtent b="0" l="0" r="0" t="0"/>
                  <wp:docPr id="1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05150" cy="23368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Fonte: contribuição do autor.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utilizados para o treinamento da ferramenta são referentes a 84 pontos de dados mensais, referentes aos anos de 2014 a 2020, e os testes foram realizados com 10 pontos de dados do ano de 2021, de janeiro a outubro.</w:t>
      </w:r>
    </w:p>
    <w:p w:rsidR="00000000" w:rsidDel="00000000" w:rsidP="00000000" w:rsidRDefault="00000000" w:rsidRPr="00000000" w14:paraId="0000005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inspeção gráfica dos quatro cenários não mostra grandes diferenças comparativas. Contudo, ao se calcular as métricas de MAE e RMSE, é possível identificar que o menor MAE foi registrado pela combinação entre tendência aditiva e sazonalidade multiplicativa e o menor RMSE está relacionado com a combinação entre tendência e sazonalidade aditivas. Todos os MAE e MSE dos quatro cenários estão registrados no Quadro 2.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Quadro 2 - Comparação tabular entre as métricas de erro de cada cenário</w:t>
      </w:r>
    </w:p>
    <w:tbl>
      <w:tblPr>
        <w:tblStyle w:val="Table4"/>
        <w:tblW w:w="1020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75"/>
        <w:gridCol w:w="2551.75"/>
        <w:gridCol w:w="2551.75"/>
        <w:gridCol w:w="2551.75"/>
        <w:tblGridChange w:id="0">
          <w:tblGrid>
            <w:gridCol w:w="2551.75"/>
            <w:gridCol w:w="2551.75"/>
            <w:gridCol w:w="2551.75"/>
            <w:gridCol w:w="2551.7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Tendência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Sazonalidade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RMSE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Aditiva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Aditiva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2.199.355,29</w:t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2.595.644,75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Aditiva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2.220.480,11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2.821.949,63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2.195.483,64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2.579.724,43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Multiplicativa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Aditiva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2.201.811,25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2.599.131,47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Fonte: Contribuição do autor.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Nota: Valores em negrito representam os menores erros dentro dos quatro cenários.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possíveis aplicações práticas do uso dessas previsões para o planejamento orçamentário e o conceito de previsão para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buget year</w:t>
      </w:r>
      <w:r w:rsidDel="00000000" w:rsidR="00000000" w:rsidRPr="00000000">
        <w:rPr>
          <w:sz w:val="24"/>
          <w:szCs w:val="24"/>
          <w:rtl w:val="0"/>
        </w:rPr>
        <w:t xml:space="preserve"> trazido por Williams e Calabrese (2016) e utilizando modelo com tendência e sazonalidade multiplicativa, seria possível prever a execução da despesa de 2021 com erro MAE de R$ 2.195.483,64 e RMSE de R$ 2.579.724,43. Isso fornece ao gestor dados para suporte à decisão com o objetivo de melhorar os processos de planejamento institucional.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m5vk9xz39ohn" w:id="4"/>
      <w:bookmarkEnd w:id="4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da linguagem Python para a previsão de séries temporais no contexto da previsão orçamentária é possível. Apesar de não possuir interface gráfica, a utilização do Python é intuitiva e apresenta bons resultados. Apesar de o autor já ter experiência com outras bibliotecas do Python, ele não havia trabalhado com previsão de séries temporais. Com base na experiência com Python e com experiências prévias do autor com R e Minitab, é possível dizer que a curva de aprendizado no Python é mais suave. </w:t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campo das contribuições práticas, os resultados dessa previsão podem ser úteis para gestores programarem o ano orçamentário de seu órgão baseado em métodos quantitativos e racionais.</w:t>
      </w:r>
    </w:p>
    <w:p w:rsidR="00000000" w:rsidDel="00000000" w:rsidP="00000000" w:rsidRDefault="00000000" w:rsidRPr="00000000" w14:paraId="0000007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uma limitação, as bibliotecas utilizadas, principalmente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statsmodels</w:t>
      </w:r>
      <w:r w:rsidDel="00000000" w:rsidR="00000000" w:rsidRPr="00000000">
        <w:rPr>
          <w:sz w:val="24"/>
          <w:szCs w:val="24"/>
          <w:rtl w:val="0"/>
        </w:rPr>
        <w:t xml:space="preserve"> apresentam situações classificadas como “caixas pretas” onde o usuário solicita ao código que determinada operação seja conduzida, mas as rotinas internas que efetivamente realizam os cálculos não são facilmente identificáveis e exigem um conhecimento mais avançado para conhecê-las, como a depuração do código fonte.</w:t>
      </w:r>
    </w:p>
    <w:p w:rsidR="00000000" w:rsidDel="00000000" w:rsidP="00000000" w:rsidRDefault="00000000" w:rsidRPr="00000000" w14:paraId="0000007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Outra limitação e consequente sugestão de pesquisa futura é a comparação do uso de Python com outras ferramentas, como a linguagem R, SAS e Minitab. As métricas de MAE e RMSE aqui apresentadas podem servir como benchmarking e fontes de comparação.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1gv68vlr53vt" w:id="5"/>
      <w:bookmarkEnd w:id="5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BROWNLEE, Jason.</w:t>
      </w:r>
      <w:r w:rsidDel="00000000" w:rsidR="00000000" w:rsidRPr="00000000">
        <w:rPr>
          <w:b w:val="1"/>
          <w:rtl w:val="0"/>
        </w:rPr>
        <w:t xml:space="preserve"> Introduction to time series forecasting with python</w:t>
      </w:r>
      <w:r w:rsidDel="00000000" w:rsidR="00000000" w:rsidRPr="00000000">
        <w:rPr>
          <w:rtl w:val="0"/>
        </w:rPr>
        <w:t xml:space="preserve">: how to prepare data and develop models to predict the future. Jason Brownlee, 2019.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GARITA, Mauricio. Why Python?. In: </w:t>
      </w:r>
      <w:r w:rsidDel="00000000" w:rsidR="00000000" w:rsidRPr="00000000">
        <w:rPr>
          <w:b w:val="1"/>
          <w:rtl w:val="0"/>
        </w:rPr>
        <w:t xml:space="preserve">Applied Quantitative Finance</w:t>
      </w:r>
      <w:r w:rsidDel="00000000" w:rsidR="00000000" w:rsidRPr="00000000">
        <w:rPr>
          <w:rtl w:val="0"/>
        </w:rPr>
        <w:t xml:space="preserve">. Palgrave Pivot, Cham, 2021. p. 1-17.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MILLS, Terence C. </w:t>
      </w:r>
      <w:r w:rsidDel="00000000" w:rsidR="00000000" w:rsidRPr="00000000">
        <w:rPr>
          <w:b w:val="1"/>
          <w:rtl w:val="0"/>
        </w:rPr>
        <w:t xml:space="preserve">Applied time series analysis: A practical guide to modeling and forecasting</w:t>
      </w:r>
      <w:r w:rsidDel="00000000" w:rsidR="00000000" w:rsidRPr="00000000">
        <w:rPr>
          <w:rtl w:val="0"/>
        </w:rPr>
        <w:t xml:space="preserve">. Academic press, 2019.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MONTGOMERY, Douglas C.; JENNINGS, Cheryl L.; KULAHCI, Murat.</w:t>
      </w:r>
      <w:r w:rsidDel="00000000" w:rsidR="00000000" w:rsidRPr="00000000">
        <w:rPr>
          <w:b w:val="1"/>
          <w:rtl w:val="0"/>
        </w:rPr>
        <w:t xml:space="preserve"> Introduction to time series analysis and forecasting</w:t>
      </w:r>
      <w:r w:rsidDel="00000000" w:rsidR="00000000" w:rsidRPr="00000000">
        <w:rPr>
          <w:rtl w:val="0"/>
        </w:rPr>
        <w:t xml:space="preserve">. John Wiley &amp; Sons, 2nd ed. 2015.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PENNER, Rudolph. </w:t>
      </w:r>
      <w:r w:rsidDel="00000000" w:rsidR="00000000" w:rsidRPr="00000000">
        <w:rPr>
          <w:b w:val="1"/>
          <w:rtl w:val="0"/>
        </w:rPr>
        <w:t xml:space="preserve">The Reliability of Long-Run Budget Projections</w:t>
      </w:r>
      <w:r w:rsidDel="00000000" w:rsidR="00000000" w:rsidRPr="00000000">
        <w:rPr>
          <w:rtl w:val="0"/>
        </w:rPr>
        <w:t xml:space="preserve">. In: WILLIAMS, Daniel; CALABRESE, Thad. The Palgrave handbook of government budget forecasting. Palgrave Macmillan, 2019.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SHMUELI, Galit; LICHTENDAHL JR., Kenneth C. Practical time series forecasting with R: A hands-on guide. Axelrod Schnall Publishers, 2nd ed. 2016.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SIEBERT, Julien; GROB, Janek; SCHROTH, Christof. A systematic review of Python packages for time series analysis. </w:t>
      </w:r>
      <w:r w:rsidDel="00000000" w:rsidR="00000000" w:rsidRPr="00000000">
        <w:rPr>
          <w:b w:val="1"/>
          <w:rtl w:val="0"/>
        </w:rPr>
        <w:t xml:space="preserve">arXiv preprint</w:t>
      </w:r>
      <w:r w:rsidDel="00000000" w:rsidR="00000000" w:rsidRPr="00000000">
        <w:rPr>
          <w:rtl w:val="0"/>
        </w:rPr>
        <w:t xml:space="preserve"> arXiv:2104.07406, 2021.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WILLIAMS, Daniel W.; CALABRESE, Thad D. The status of budget forecasting. </w:t>
      </w:r>
      <w:r w:rsidDel="00000000" w:rsidR="00000000" w:rsidRPr="00000000">
        <w:rPr>
          <w:b w:val="1"/>
          <w:rtl w:val="0"/>
        </w:rPr>
        <w:t xml:space="preserve">Journal of Public and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Nonprofit Affairs</w:t>
      </w:r>
      <w:r w:rsidDel="00000000" w:rsidR="00000000" w:rsidRPr="00000000">
        <w:rPr>
          <w:rtl w:val="0"/>
        </w:rPr>
        <w:t xml:space="preserve">, v. 2, n. 2, p. 127-160, 2016.</w:t>
      </w:r>
    </w:p>
    <w:sectPr>
      <w:pgSz w:h="16838" w:w="11906" w:orient="portrait"/>
      <w:pgMar w:bottom="566.9291338582677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7.png"/><Relationship Id="rId21" Type="http://schemas.openxmlformats.org/officeDocument/2006/relationships/hyperlink" Target="https://bit.ly/PQM14_PrevisaoUnifei" TargetMode="External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2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www.siop.gov.br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portaltransparencia.gov.br/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2.png"/><Relationship Id="rId19" Type="http://schemas.openxmlformats.org/officeDocument/2006/relationships/image" Target="media/image9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