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DECÓS CORPORATIVO — CENTRAL DE DOCUMENTOS &amp; POPs</w:t>
      </w:r>
    </w:p>
    <w:p>
      <w:pPr>
        <w:pStyle w:val="Heading2"/>
      </w:pPr>
      <w:r>
        <w:t>POP-LAB-006 — Coleta, Identificação e Transporte de Amostras Biológicas</w:t>
      </w:r>
    </w:p>
    <w:p>
      <w:r>
        <w:t>Categoria: Laboratório | Vigência: Institucional</w:t>
      </w:r>
    </w:p>
    <w:p>
      <w:r>
        <w:t>Padronização da fase pré-analítica: conferência de identificação dupla à beira-leito, ordem de tubos de coleta venosa e acondicionamento térmico até a bancada.</w:t>
      </w:r>
    </w:p>
    <w:p>
      <w:pPr>
        <w:pStyle w:val="Heading3"/>
      </w:pPr>
      <w:r>
        <w:t>1. OBJETIVO</w:t>
      </w:r>
    </w:p>
    <w:p>
      <w:r>
        <w:t>Prevenir erros pré-analíticos como hemólise, coagulação da amostra ou troca de identificação de pacientes.</w:t>
      </w:r>
    </w:p>
    <w:p>
      <w:pPr>
        <w:pStyle w:val="Heading3"/>
      </w:pPr>
      <w:r>
        <w:t>2. IDENTIFICAÇÃO SEGURA À BEIRA-LEITO</w:t>
      </w:r>
    </w:p>
    <w:p>
      <w:r>
        <w:t>Conferir nome completo e data de nascimento na pulseira do paciente antes da punção e etiquetar os tubos na presença do paciente.</w:t>
      </w:r>
    </w:p>
    <w:p>
      <w:pPr>
        <w:pStyle w:val="Heading3"/>
      </w:pPr>
      <w:r>
        <w:t>3. ORDEM DOS TUBOS DE COLETA A VÁCUO</w:t>
      </w:r>
    </w:p>
    <w:p>
      <w:r>
        <w:t>1º Frascos de hemocultura; 2º Tampa azul (citrato); 3º Tampa vermelha/amarela (soro/gel); 4º Tampa verde (heparina); 5º Tampa roxa (EDTA); 6º Tampa cinza (fluoreto).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