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INFORME DE DISEÑO DE SOFTWARE – SENALINK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pStyle w:val="Heading2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Este informe presenta el diseño detallado del sistema de información SenaLink, una plataforma web orientada a mejorar la gestión institucional y el acceso a la información relacionada con los programas de formación y servicios ofrecidos por el SENA - CDITI.</w:t>
      </w:r>
    </w:p>
    <w:p w:rsidR="00000000" w:rsidDel="00000000" w:rsidP="00000000" w:rsidRDefault="00000000" w:rsidRPr="00000000" w14:paraId="00000004">
      <w:pPr>
        <w:pStyle w:val="Heading2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El diseño del sistema se ha enfocado en ofrecer una solución tecnológica robusta, modular y adaptable, que permita atender las necesidades operativas y estratégicas de los distintos usuarios del sistema. Para ello, se ha definido una arquitectura clara, componentes funcionales bien estructurados y una interfaz centrada en la experiencia del usuario.</w:t>
      </w:r>
    </w:p>
    <w:p w:rsidR="00000000" w:rsidDel="00000000" w:rsidP="00000000" w:rsidRDefault="00000000" w:rsidRPr="00000000" w14:paraId="00000005">
      <w:pPr>
        <w:pStyle w:val="Heading2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Este documento describe los aspectos clave del diseño, incluyendo la estructura general del sistema, tecnologías utilizadas, modelo de datos, diseño de interfaz, y consideraciones de seguridad. La finalidad es garantizar una base sólida para la implementación del sistema, promoviendo su escalabilidad, usabilidad y eficiencia a lo largo del tiempo.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2. Descripción General del Sistema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SenaLink está diseñado para facilitar el acceso a la oferta educativa y servicios disponibles. Sus módulos principales incluyen: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Super Administrador (SU_ADMIN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): Responsable de la gestión completa del sistema, incluyendo usuarios, empresas, administradores y programas de 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Administrador SENA (ADMIN_SENA):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Encargado de gestionar los programas de formación (crear, modificar, activar, suspender, reportar).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Empresas: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Usuarios con la capacidad de registrarse, autenticarse, realizar diagnósticos empresariales y generar reportes.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Cambria" w:cs="Cambria" w:eastAsia="Cambria" w:hAnsi="Cambria"/>
          <w:b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El sistema ha sido diseñado para garantizar un flujo de trabajo fluido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 entre estos actores, con controles de acceso y gestión diferenciada según el rol.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3. Arquitectura del Software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sigue una arquitectura cliente-servidor y utiliza las siguientes tecnologías: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0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HTML, CSS, Javascript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la interfaz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Laravel (PHP) para la gestión de lógica de negocio y API 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de datos: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MySQL para almacenamiento de información estructurada.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4. Base de Datos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 estructura de la base de datos se diseñó siguiendo buenas prácticas de normalización y eficiencia en consultas. Las entidades principales son: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3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Usuarios: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Incluye atributos como tipo de documento, número de documento, nombres, apellidos, nickname, correo electrónico, contraseña, estado (activo/suspendido/desactivado), y 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3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Empresas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: Incluye datos como NIT, nombre, teléfono, correo, dirección, y actividad económica.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3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Administradores: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Registro especial del personal del SENA con permisos sobre los programas de 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3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Programas de formación: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Contiene nombre, duración, nivel (técnico, tecnólogo, etc.), y 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3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Diagnóstico empresarial: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Registro de respuestas e informes generados por empresas, con resultados visualizables y exportables.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5. Diseño del Front-End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 diseño de la interfaz se basa en la guía de estilos establecida y cumple con los principios de usabilidad. Características principales:</w:t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4"/>
        </w:numPr>
        <w:spacing w:after="80" w:before="280" w:lineRule="auto"/>
        <w:ind w:left="72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Super Administrador: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rtl w:val="0"/>
        </w:rPr>
        <w:t xml:space="preserve">Acceso a paneles de gestión de usuarios, empresas y administradores, con visualización de reportes.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4"/>
        </w:numPr>
        <w:spacing w:after="80" w:before="28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Administrador SENA: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rtl w:val="0"/>
        </w:rPr>
        <w:t xml:space="preserve">Vista optimizada para la creación, edición y seguimiento de programas.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4"/>
        </w:numPr>
        <w:spacing w:after="80" w:before="28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Empresas: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rtl w:val="0"/>
        </w:rPr>
        <w:t xml:space="preserve">Interfaz con enfoque en el diagnóstico empresarial y generación de reportes.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80" w:before="280" w:lineRule="auto"/>
        <w:rPr>
          <w:rFonts w:ascii="Cambria" w:cs="Cambria" w:eastAsia="Cambria" w:hAnsi="Cambria"/>
          <w:b w:val="0"/>
          <w:color w:val="000000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rtl w:val="0"/>
        </w:rPr>
        <w:t xml:space="preserve">Los formularios incluyen validaciones específicas y un flujo natural de navegación que facilita el cumplimiento de los requerimientos funcionales definidos.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3c78d8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3c78d8"/>
          <w:sz w:val="26"/>
          <w:szCs w:val="26"/>
          <w:rtl w:val="0"/>
        </w:rPr>
        <w:t xml:space="preserve">6. Seguridad del Sistema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garantizar la integridad y protección de la información, el sistema implementa:</w:t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5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Gestión de sesiones y recuperación de acceso: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Se incorpora un sistema de recuperación de contraseña por correo electrónico, donde se envía un código de verificación temporal.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5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Control de acceso basado en roles: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Todas las rutas y funcionalidades están protegidas por middleware que valida permisos específicos según el tipo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Tiempo de expiración de sesión: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Las sesiones expiran automáticamente tras 3 minutos de inactividad, como medida de seguridad adicional para el SU_ADMIN.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color w:val="4a86e8"/>
        </w:rPr>
      </w:pPr>
      <w:r w:rsidDel="00000000" w:rsidR="00000000" w:rsidRPr="00000000">
        <w:rPr>
          <w:rtl w:val="0"/>
        </w:rPr>
        <w:t xml:space="preserve">7.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 diseño de SenaLink cumple con los principios de desarrollo de software moderno, asegurando usabilidad, escalabilidad y eficiencia en la asignación de aprendices. La implementación de la base de datos y la interfaz de usuario han sido diseñadas para maximizar la efectividad del sistema.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