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01" w:rsidRPr="00DA3601" w:rsidRDefault="00DA3601" w:rsidP="00DA3601">
      <w:pPr>
        <w:shd w:val="clear" w:color="auto" w:fill="FFFFFF"/>
        <w:spacing w:after="36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 tabela abaixo lista os domínios medidos por este exame e a extensão em que estão representadas:</w:t>
      </w:r>
      <w:r w:rsidRPr="00DA3601">
        <w:rPr>
          <w:rFonts w:ascii="Arial" w:eastAsia="Times New Roman" w:hAnsi="Arial" w:cs="Arial"/>
          <w:noProof/>
          <w:color w:val="444444"/>
          <w:sz w:val="20"/>
          <w:szCs w:val="20"/>
          <w:lang w:eastAsia="pt-BR"/>
        </w:rPr>
        <w:drawing>
          <wp:inline distT="0" distB="0" distL="0" distR="0">
            <wp:extent cx="5629275" cy="1822107"/>
            <wp:effectExtent l="0" t="0" r="0" b="6985"/>
            <wp:docPr id="1" name="Imagem 1" descr="aws CSA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SA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41" cy="18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Limites de resposta</w:t>
      </w:r>
    </w:p>
    <w:p w:rsidR="00DA3601" w:rsidRPr="00DA3601" w:rsidRDefault="00DA3601" w:rsidP="00DA3601">
      <w:pPr>
        <w:shd w:val="clear" w:color="auto" w:fill="FFFFFF"/>
        <w:spacing w:after="36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O examinando seleciona, a partir de 4 (quatro) ou mais opções de resposta, a opção (s) que melhor completa a sentença ou responde à pergunta. Distrações ou respostas erradas são as </w:t>
      </w:r>
      <w:bookmarkStart w:id="0" w:name="_GoBack"/>
      <w:bookmarkEnd w:id="0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opções de resposta que os examinandos com conhecimento ou habilidade incompleto insuficiente provavelmente irão escolher, mas geralmente são respostas plausíveis contidas na área de conteúdo definido pelo objetivo do teste.</w:t>
      </w:r>
    </w:p>
    <w:p w:rsidR="00DA3601" w:rsidRPr="00DA3601" w:rsidRDefault="00DA3601" w:rsidP="00DA3601">
      <w:pPr>
        <w:shd w:val="clear" w:color="auto" w:fill="FFFFFF"/>
        <w:spacing w:after="36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Formatos de item de teste utilizados neste exame são:</w:t>
      </w:r>
    </w:p>
    <w:p w:rsidR="00DA3601" w:rsidRPr="00DA3601" w:rsidRDefault="00DA3601" w:rsidP="00DA3601">
      <w:pPr>
        <w:numPr>
          <w:ilvl w:val="0"/>
          <w:numId w:val="1"/>
        </w:numPr>
        <w:spacing w:after="0" w:line="293" w:lineRule="atLeast"/>
        <w:ind w:left="528" w:right="528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Múltipla escolha</w:t>
      </w: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: O examinando seleciona uma opção que melhor responde à pergunta ou uma declaração completa.</w:t>
      </w: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br/>
      </w:r>
    </w:p>
    <w:p w:rsidR="00DA3601" w:rsidRPr="00DA3601" w:rsidRDefault="00DA3601" w:rsidP="00DA3601">
      <w:pPr>
        <w:numPr>
          <w:ilvl w:val="0"/>
          <w:numId w:val="1"/>
        </w:numPr>
        <w:spacing w:after="0" w:line="293" w:lineRule="atLeast"/>
        <w:ind w:left="528" w:right="528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Multipla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-resposta</w:t>
      </w: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:</w:t>
      </w: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 examinando seleciona mais de uma opção que melhor responde à pergunta ou uma declaração completa.</w:t>
      </w:r>
    </w:p>
    <w:p w:rsidR="00DA3601" w:rsidRPr="00DA3601" w:rsidRDefault="00DA3601" w:rsidP="00DA3601">
      <w:pPr>
        <w:numPr>
          <w:ilvl w:val="0"/>
          <w:numId w:val="1"/>
        </w:numPr>
        <w:spacing w:after="0" w:line="293" w:lineRule="atLeast"/>
        <w:ind w:left="528" w:right="528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Amostra Instruções</w:t>
      </w: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: Leia a declaração ou pergunta e uma das opções de resposta, selecione apenas a opção (s) que representam a resposta mais correta ou melhor (s) dada a informação.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 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bdr w:val="none" w:sz="0" w:space="0" w:color="auto" w:frame="1"/>
          <w:lang w:eastAsia="pt-BR"/>
        </w:rPr>
        <w:t>Limites de conteúdo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Domínio 1.0 – Projetando sistemas alta disponibilidade, economicamente eficiente, </w:t>
      </w:r>
      <w:proofErr w:type="gram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tolerante</w:t>
      </w:r>
      <w:proofErr w:type="gram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 a falhas, escaláveis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1.1 – Identificar e reconhecer as considerações de arquitetura em nuvem, tais como componentes fundamentais e os projetos eficazes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O conteúdo pode incluir o seguinte assuntos:</w:t>
      </w:r>
    </w:p>
    <w:p w:rsidR="00DA3601" w:rsidRPr="00DA3601" w:rsidRDefault="00DA3601" w:rsidP="00DA3601">
      <w:pPr>
        <w:numPr>
          <w:ilvl w:val="1"/>
          <w:numId w:val="2"/>
        </w:numPr>
        <w:spacing w:after="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Como projetar os serviços em nuvem;</w:t>
      </w:r>
    </w:p>
    <w:p w:rsidR="00DA3601" w:rsidRPr="00DA3601" w:rsidRDefault="00DA3601" w:rsidP="00DA3601">
      <w:pPr>
        <w:numPr>
          <w:ilvl w:val="1"/>
          <w:numId w:val="2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Planejamento e projeto;</w:t>
      </w:r>
    </w:p>
    <w:p w:rsidR="00DA3601" w:rsidRPr="00DA3601" w:rsidRDefault="00DA3601" w:rsidP="00DA3601">
      <w:pPr>
        <w:numPr>
          <w:ilvl w:val="1"/>
          <w:numId w:val="2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Monitoramento;</w:t>
      </w:r>
    </w:p>
    <w:p w:rsidR="00DA3601" w:rsidRPr="00DA3601" w:rsidRDefault="00DA3601" w:rsidP="00DA3601">
      <w:pPr>
        <w:numPr>
          <w:ilvl w:val="1"/>
          <w:numId w:val="2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Familiaridade com:</w:t>
      </w:r>
    </w:p>
    <w:p w:rsidR="00DA3601" w:rsidRPr="00DA3601" w:rsidRDefault="00DA3601" w:rsidP="00DA3601">
      <w:pPr>
        <w:numPr>
          <w:ilvl w:val="2"/>
          <w:numId w:val="2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Melhores Práticas;</w:t>
      </w:r>
    </w:p>
    <w:p w:rsidR="00DA3601" w:rsidRPr="00DA3601" w:rsidRDefault="00DA3601" w:rsidP="00DA3601">
      <w:pPr>
        <w:numPr>
          <w:ilvl w:val="2"/>
          <w:numId w:val="2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Desenvolver as especificações do cliente, incluindo preço/custo (EX.: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On-Demand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x Reservadas </w:t>
      </w:r>
      <w:proofErr w:type="gram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x</w:t>
      </w:r>
      <w:proofErr w:type="gram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Spot, Projeto de Recovery Time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objective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, Recovery Point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objective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, 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Disaster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Recovery);</w:t>
      </w:r>
    </w:p>
    <w:p w:rsidR="00DA3601" w:rsidRPr="00DA3601" w:rsidRDefault="00DA3601" w:rsidP="00DA3601">
      <w:pPr>
        <w:numPr>
          <w:ilvl w:val="2"/>
          <w:numId w:val="2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lastRenderedPageBreak/>
        <w:t>Trade-off de arquiteturas (alta disponibilidade x custo, VPC x Classic, RDS x DB instalado no EC2);</w:t>
      </w:r>
    </w:p>
    <w:p w:rsidR="00DA3601" w:rsidRPr="00DA3601" w:rsidRDefault="00DA3601" w:rsidP="00DA3601">
      <w:pPr>
        <w:numPr>
          <w:ilvl w:val="2"/>
          <w:numId w:val="2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Elasticidade e escalabilidade.</w:t>
      </w:r>
    </w:p>
    <w:p w:rsidR="00DA3601" w:rsidRPr="00DA3601" w:rsidRDefault="00DA3601" w:rsidP="00DA3601">
      <w:pPr>
        <w:numPr>
          <w:ilvl w:val="1"/>
          <w:numId w:val="2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Integração com ambientes de desenvolvimento existentes e construção de arquitetura escalável.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Domínio 2.0 – Implantação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gram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2.1 Identificar</w:t>
      </w:r>
      <w:proofErr w:type="gram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 as técnicas e métodos adequados, utilizando 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 EC2, 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 S3, 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Elastic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Beanstalk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, 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CloudFormation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, VPC e IAM para codificar e implementar uma solução de </w:t>
      </w:r>
      <w:proofErr w:type="spellStart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cloud</w:t>
      </w:r>
      <w:proofErr w:type="spellEnd"/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O conteúdo pode incluir o seguinte assuntos:</w:t>
      </w:r>
    </w:p>
    <w:p w:rsidR="00DA3601" w:rsidRPr="00DA3601" w:rsidRDefault="00DA3601" w:rsidP="00DA3601">
      <w:pPr>
        <w:numPr>
          <w:ilvl w:val="1"/>
          <w:numId w:val="3"/>
        </w:numPr>
        <w:spacing w:after="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Configurar uma AMI (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Machine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);</w:t>
      </w:r>
    </w:p>
    <w:p w:rsidR="00DA3601" w:rsidRPr="00DA3601" w:rsidRDefault="00DA3601" w:rsidP="00DA3601">
      <w:pPr>
        <w:numPr>
          <w:ilvl w:val="1"/>
          <w:numId w:val="3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Operar e estender o gerenciamento de serviços em nuvem privada;</w:t>
      </w:r>
    </w:p>
    <w:p w:rsidR="00DA3601" w:rsidRPr="00DA3601" w:rsidRDefault="00DA3601" w:rsidP="00DA3601">
      <w:pPr>
        <w:numPr>
          <w:ilvl w:val="1"/>
          <w:numId w:val="3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Configurar conformidade na nuvem privada e pública;</w:t>
      </w:r>
    </w:p>
    <w:p w:rsidR="00DA3601" w:rsidRPr="00DA3601" w:rsidRDefault="00DA3601" w:rsidP="00DA3601">
      <w:pPr>
        <w:numPr>
          <w:ilvl w:val="1"/>
          <w:numId w:val="3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Lançar instâncias em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varias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regiões geográficas.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Domínio 3.0 – Segurança de Dados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3.1 – Reconhecer e implementar procedimentos de segurança para a implantação e manutenção da Nuvem.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O conteúdo pode incluir o seguinte assuntos:</w:t>
      </w:r>
    </w:p>
    <w:p w:rsidR="00DA3601" w:rsidRPr="00DA3601" w:rsidRDefault="00DA3601" w:rsidP="00DA3601">
      <w:pPr>
        <w:numPr>
          <w:ilvl w:val="1"/>
          <w:numId w:val="4"/>
        </w:numPr>
        <w:spacing w:after="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Melhores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praticas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de segurança na Nuvem</w:t>
      </w:r>
    </w:p>
    <w:p w:rsidR="00DA3601" w:rsidRPr="00DA3601" w:rsidRDefault="00DA3601" w:rsidP="00DA3601">
      <w:pPr>
        <w:numPr>
          <w:ilvl w:val="2"/>
          <w:numId w:val="4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Como criar e usar um modelo de ameaças;</w:t>
      </w:r>
    </w:p>
    <w:p w:rsidR="00DA3601" w:rsidRPr="00DA3601" w:rsidRDefault="00DA3601" w:rsidP="00DA3601">
      <w:pPr>
        <w:numPr>
          <w:ilvl w:val="2"/>
          <w:numId w:val="4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Como criar e usar um diagrama de fluxo de dados para o gerenciamento de risco</w:t>
      </w:r>
    </w:p>
    <w:p w:rsidR="00DA3601" w:rsidRPr="00DA3601" w:rsidRDefault="00DA3601" w:rsidP="00DA3601">
      <w:pPr>
        <w:numPr>
          <w:ilvl w:val="3"/>
          <w:numId w:val="4"/>
        </w:numPr>
        <w:spacing w:after="180" w:line="240" w:lineRule="auto"/>
        <w:ind w:left="2112" w:right="2112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Casos de Uso;</w:t>
      </w:r>
    </w:p>
    <w:p w:rsidR="00DA3601" w:rsidRPr="00DA3601" w:rsidRDefault="00DA3601" w:rsidP="00DA3601">
      <w:pPr>
        <w:numPr>
          <w:ilvl w:val="3"/>
          <w:numId w:val="4"/>
        </w:numPr>
        <w:spacing w:after="180" w:line="240" w:lineRule="auto"/>
        <w:ind w:left="2112" w:right="2112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Casos de Abusos (Casos de uso negativos).</w:t>
      </w:r>
    </w:p>
    <w:p w:rsidR="00DA3601" w:rsidRPr="00DA3601" w:rsidRDefault="00DA3601" w:rsidP="00DA3601">
      <w:pPr>
        <w:numPr>
          <w:ilvl w:val="1"/>
          <w:numId w:val="5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Arquitetura de Segurança com AWS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Modelo de Responsabilidade Compartilhada da Segurança;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AWS Platform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Compliance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 AWS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security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attributes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(cargas de trabalho do cliente para a camada física)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Serviços de Segurança;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IMA;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VPC;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CIA e modelos </w:t>
      </w:r>
      <w:proofErr w:type="gram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AAA,  ingresso</w:t>
      </w:r>
      <w:proofErr w:type="gram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vs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filtragem de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de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ingresso; e  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qual serviços e recursos da AWS se encaixam;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Definir recursos de segurança “Core” EC2 e S3;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Incorporando produtos de segurança convencionais (Firewall, </w:t>
      </w:r>
      <w:proofErr w:type="gram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IDS:HIDS</w:t>
      </w:r>
      <w:proofErr w:type="gram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/NIDS, SIEM, VPN);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Padrões de Projeto;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Redução de DDOS;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Controles de acesso complexos (construção de grupos de segurança sofisticados,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ACLs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,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etc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);</w:t>
      </w:r>
    </w:p>
    <w:p w:rsidR="00DA3601" w:rsidRPr="00DA3601" w:rsidRDefault="00DA3601" w:rsidP="00DA3601">
      <w:pPr>
        <w:numPr>
          <w:ilvl w:val="2"/>
          <w:numId w:val="5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lastRenderedPageBreak/>
        <w:t>CloudWatch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para o arquiteto de segurança.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3.2 – Reconhecer as técnicas de recuperação de desastres essenciais e sua implementação.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O conteúdo pode incluir o seguinte assuntos:</w:t>
      </w:r>
    </w:p>
    <w:p w:rsidR="00DA3601" w:rsidRPr="00DA3601" w:rsidRDefault="00DA3601" w:rsidP="00DA3601">
      <w:pPr>
        <w:numPr>
          <w:ilvl w:val="1"/>
          <w:numId w:val="6"/>
        </w:numPr>
        <w:spacing w:after="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Recuperação de Desastre;</w:t>
      </w:r>
    </w:p>
    <w:p w:rsidR="00DA3601" w:rsidRPr="00DA3601" w:rsidRDefault="00DA3601" w:rsidP="00DA3601">
      <w:pPr>
        <w:numPr>
          <w:ilvl w:val="2"/>
          <w:numId w:val="6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Recovery time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objective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– RTO (Objetivo do tempo de recuperação)</w:t>
      </w:r>
    </w:p>
    <w:p w:rsidR="00DA3601" w:rsidRPr="00DA3601" w:rsidRDefault="00DA3601" w:rsidP="00DA3601">
      <w:pPr>
        <w:numPr>
          <w:ilvl w:val="2"/>
          <w:numId w:val="6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Recovery point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objective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– RPO (Objetivo do ponto de recuperação)</w:t>
      </w:r>
    </w:p>
    <w:p w:rsidR="00DA3601" w:rsidRPr="00DA3601" w:rsidRDefault="00DA3601" w:rsidP="00DA3601">
      <w:pPr>
        <w:numPr>
          <w:ilvl w:val="2"/>
          <w:numId w:val="6"/>
        </w:numPr>
        <w:spacing w:after="180" w:line="240" w:lineRule="auto"/>
        <w:ind w:left="1584" w:right="1584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Elastic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Block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Store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(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EBS)</w:t>
      </w:r>
    </w:p>
    <w:p w:rsidR="00DA3601" w:rsidRPr="00DA3601" w:rsidRDefault="00DA3601" w:rsidP="00DA3601">
      <w:pPr>
        <w:numPr>
          <w:ilvl w:val="1"/>
          <w:numId w:val="6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AWS 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Import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/</w:t>
      </w: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Export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;</w:t>
      </w:r>
    </w:p>
    <w:p w:rsidR="00DA3601" w:rsidRPr="00DA3601" w:rsidRDefault="00DA3601" w:rsidP="00DA3601">
      <w:pPr>
        <w:numPr>
          <w:ilvl w:val="1"/>
          <w:numId w:val="6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AWS Storage Gateway;</w:t>
      </w:r>
    </w:p>
    <w:p w:rsidR="00DA3601" w:rsidRPr="00DA3601" w:rsidRDefault="00DA3601" w:rsidP="00DA3601">
      <w:pPr>
        <w:numPr>
          <w:ilvl w:val="1"/>
          <w:numId w:val="6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spellStart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Amazon</w:t>
      </w:r>
      <w:proofErr w:type="spellEnd"/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Route53;</w:t>
      </w:r>
    </w:p>
    <w:p w:rsidR="00DA3601" w:rsidRPr="00DA3601" w:rsidRDefault="00DA3601" w:rsidP="00DA3601">
      <w:pPr>
        <w:numPr>
          <w:ilvl w:val="1"/>
          <w:numId w:val="6"/>
        </w:numPr>
        <w:spacing w:after="18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Testando os dados recuperados.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Domínio 4.0 – Solução de problemas</w:t>
      </w:r>
    </w:p>
    <w:p w:rsidR="00DA3601" w:rsidRPr="00DA3601" w:rsidRDefault="00DA3601" w:rsidP="00DA360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O conteúdo pode incluir o seguinte assuntos:</w:t>
      </w:r>
    </w:p>
    <w:p w:rsidR="00DA3601" w:rsidRPr="00DA3601" w:rsidRDefault="00DA3601" w:rsidP="00DA3601">
      <w:pPr>
        <w:numPr>
          <w:ilvl w:val="1"/>
          <w:numId w:val="7"/>
        </w:numPr>
        <w:spacing w:after="0" w:line="240" w:lineRule="auto"/>
        <w:ind w:left="1056" w:right="1056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DA3601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eastAsia="pt-BR"/>
        </w:rPr>
        <w:t>Solução de problemas gerais, informações e dúvidas.</w:t>
      </w:r>
    </w:p>
    <w:p w:rsidR="00526931" w:rsidRDefault="00526931"/>
    <w:sectPr w:rsidR="00526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419"/>
    <w:multiLevelType w:val="multilevel"/>
    <w:tmpl w:val="5D9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701A"/>
    <w:multiLevelType w:val="multilevel"/>
    <w:tmpl w:val="E3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909F0"/>
    <w:multiLevelType w:val="multilevel"/>
    <w:tmpl w:val="DC6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1460B"/>
    <w:multiLevelType w:val="multilevel"/>
    <w:tmpl w:val="99E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901DD"/>
    <w:multiLevelType w:val="multilevel"/>
    <w:tmpl w:val="574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41971"/>
    <w:multiLevelType w:val="multilevel"/>
    <w:tmpl w:val="894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73E86"/>
    <w:multiLevelType w:val="multilevel"/>
    <w:tmpl w:val="B43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01"/>
    <w:rsid w:val="00526931"/>
    <w:rsid w:val="00DA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FF24E-9A5C-4DFF-BC18-33A781EE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3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SANTOS</dc:creator>
  <cp:keywords/>
  <dc:description/>
  <cp:lastModifiedBy>ANDY SANTOS</cp:lastModifiedBy>
  <cp:revision>1</cp:revision>
  <dcterms:created xsi:type="dcterms:W3CDTF">2016-08-19T21:37:00Z</dcterms:created>
  <dcterms:modified xsi:type="dcterms:W3CDTF">2016-08-19T21:38:00Z</dcterms:modified>
</cp:coreProperties>
</file>