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1C1A9B" w:rsidRPr="00D36C91" w14:paraId="6CD6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7EC0BBE2" w14:textId="4980484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Tipo de Transacción</w:t>
            </w:r>
          </w:p>
        </w:tc>
        <w:tc>
          <w:tcPr>
            <w:tcW w:w="1526" w:type="dxa"/>
            <w:shd w:val="clear" w:color="auto" w:fill="auto"/>
          </w:tcPr>
          <w:p w14:paraId="42F4CD4E" w14:textId="2610C81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4474FB15" w14:textId="08BE6CF7" w:rsidR="001C1A9B" w:rsidRDefault="001C1A9B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56D134FC" w14:textId="77D1EA96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[1]</w:t>
            </w:r>
          </w:p>
        </w:tc>
        <w:tc>
          <w:tcPr>
            <w:tcW w:w="3933" w:type="dxa"/>
            <w:shd w:val="clear" w:color="auto" w:fill="auto"/>
          </w:tcPr>
          <w:p w14:paraId="32EA9804" w14:textId="4B21688A" w:rsidR="001C1A9B" w:rsidRDefault="001C1A9B" w:rsidP="00116E8B">
            <w:r>
              <w:t>L</w:t>
            </w:r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 xml:space="preserve">Longitud </w:t>
            </w:r>
            <w:r w:rsidRPr="00D36C91">
              <w:rPr>
                <w:rFonts w:cs="Calibri"/>
                <w:szCs w:val="22"/>
              </w:rPr>
              <w:lastRenderedPageBreak/>
              <w:t>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lastRenderedPageBreak/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>“</w:t>
            </w:r>
            <w:proofErr w:type="spellStart"/>
            <w:r w:rsidRPr="00614826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614826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44F0D1BF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1C1A9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</w:t>
            </w:r>
            <w:proofErr w:type="spellStart"/>
            <w:r w:rsidRPr="00211637">
              <w:rPr>
                <w:rFonts w:cs="Calibri"/>
                <w:szCs w:val="22"/>
                <w:lang w:val="es-AR"/>
              </w:rPr>
              <w:t>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Pr="00211637">
              <w:rPr>
                <w:rFonts w:cs="Calibri"/>
                <w:szCs w:val="22"/>
                <w:lang w:val="es-AR"/>
              </w:rPr>
              <w:t>”: “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Pr="00211637">
              <w:rPr>
                <w:rFonts w:cs="Calibri"/>
                <w:szCs w:val="22"/>
                <w:lang w:val="es-AR"/>
              </w:rPr>
              <w:t>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Codigo de </w:t>
            </w:r>
            <w:proofErr w:type="spellStart"/>
            <w:r>
              <w:rPr>
                <w:rFonts w:cs="Calibri"/>
                <w:szCs w:val="22"/>
              </w:rPr>
              <w:t>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</w:t>
            </w: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  <w:r>
              <w:rPr>
                <w:rFonts w:cs="Calibri"/>
                <w:szCs w:val="22"/>
              </w:rPr>
              <w:t>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</w:t>
            </w:r>
            <w:proofErr w:type="spellStart"/>
            <w:r>
              <w:rPr>
                <w:rFonts w:cs="Calibri"/>
                <w:szCs w:val="22"/>
              </w:rPr>
              <w:t>IdContenido</w:t>
            </w:r>
            <w:proofErr w:type="spellEnd"/>
            <w:r>
              <w:rPr>
                <w:rFonts w:cs="Calibri"/>
                <w:szCs w:val="22"/>
              </w:rPr>
              <w:t>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>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378"/>
        <w:gridCol w:w="1470"/>
        <w:gridCol w:w="1201"/>
        <w:gridCol w:w="4546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7D1567E5" w14:textId="77777777" w:rsidR="00AB1351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</w:t>
            </w:r>
            <w:r w:rsidR="008C54CB"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Id_en_plataforma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4B385" w14:textId="77777777" w:rsidR="00E21BFF" w:rsidRDefault="00E21BFF">
      <w:r>
        <w:separator/>
      </w:r>
    </w:p>
  </w:endnote>
  <w:endnote w:type="continuationSeparator" w:id="0">
    <w:p w14:paraId="2064F3CF" w14:textId="77777777" w:rsidR="00E21BFF" w:rsidRDefault="00E2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5DE91" w14:textId="77777777" w:rsidR="00E21BFF" w:rsidRDefault="00E21BFF">
      <w:r>
        <w:separator/>
      </w:r>
    </w:p>
  </w:footnote>
  <w:footnote w:type="continuationSeparator" w:id="0">
    <w:p w14:paraId="1389919F" w14:textId="77777777" w:rsidR="00E21BFF" w:rsidRDefault="00E21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1C1A9B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8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1A9B"/>
    <w:rsid w:val="001C6F8A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30C31"/>
    <w:rsid w:val="002373DB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6B80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21BFF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1145</TotalTime>
  <Pages>12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12443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75</cp:revision>
  <cp:lastPrinted>2008-09-21T18:34:00Z</cp:lastPrinted>
  <dcterms:created xsi:type="dcterms:W3CDTF">2023-04-08T19:54:00Z</dcterms:created>
  <dcterms:modified xsi:type="dcterms:W3CDTF">2024-05-05T23:36:00Z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