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343A" w14:textId="77777777" w:rsidR="00E872FB" w:rsidRPr="00E872FB" w:rsidRDefault="00E872FB" w:rsidP="00E872FB">
      <w:pPr>
        <w:shd w:val="clear" w:color="auto" w:fill="F6EEFC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Podemos explicar</w:t>
      </w:r>
    </w:p>
    <w:p w14:paraId="7191531C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1 -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__construct()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 e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__destruct()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. São os métodos executados assim que a classe da página é iniciada e finalizada. Um é responsável por renderizar o header da página e outro renderiza o footer</w:t>
      </w:r>
    </w:p>
    <w:p w14:paraId="6F2E424B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2 -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setData()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. Define as variáveis informadas em nosso template</w:t>
      </w:r>
    </w:p>
    <w:p w14:paraId="5CB23174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3 -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setTpl()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. Esse método espera três parâmetros</w:t>
      </w:r>
    </w:p>
    <w:p w14:paraId="3B2012DF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pt-BR"/>
        </w:rPr>
        <w:t>$name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: É o nome do arquivo HTML que queremos renderizar</w:t>
      </w:r>
    </w:p>
    <w:p w14:paraId="5880C5C9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pt-BR"/>
        </w:rPr>
        <w:t>$data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: É um array, onde recebemos os dados ou variáveis que queremos mostrar na página</w:t>
      </w:r>
    </w:p>
    <w:p w14:paraId="5F308284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  <w:lang w:eastAsia="pt-BR"/>
        </w:rPr>
        <w:t>$returnHtml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: É um booleano, que define se o HTML vai ser escrito ou interpretado</w:t>
      </w:r>
    </w:p>
    <w:p w14:paraId="630BDB44" w14:textId="77777777" w:rsidR="00E872FB" w:rsidRPr="00E872FB" w:rsidRDefault="00E872FB" w:rsidP="00E872FB">
      <w:pPr>
        <w:shd w:val="clear" w:color="auto" w:fill="F6EEFC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Primeiramente, definimos os dados ou variáveis que iremos exibir na tela usando o método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setData()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, que utiliza o método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assign()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, nativo do RainTpl</w:t>
      </w:r>
    </w:p>
    <w:p w14:paraId="58E7AD52" w14:textId="4184744F" w:rsidR="00E872FB" w:rsidRPr="00E872FB" w:rsidRDefault="00E872FB" w:rsidP="00E87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72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2A0C4D7" wp14:editId="463A315C">
            <wp:extent cx="5400040" cy="291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1907" w14:textId="77777777" w:rsidR="00E872FB" w:rsidRPr="00E872FB" w:rsidRDefault="00E872FB" w:rsidP="00E872FB">
      <w:pPr>
        <w:shd w:val="clear" w:color="auto" w:fill="F6EEFC"/>
        <w:spacing w:after="0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Depois, retornamos a chamada da página propriamente dita, com o método </w:t>
      </w:r>
      <w:r w:rsidRPr="00E872FB">
        <w:rPr>
          <w:rFonts w:ascii="Roboto" w:eastAsia="Times New Roman" w:hAnsi="Roboto" w:cs="Times New Roman"/>
          <w:b/>
          <w:bCs/>
          <w:color w:val="1C1D1F"/>
          <w:sz w:val="21"/>
          <w:szCs w:val="21"/>
          <w:lang w:eastAsia="pt-BR"/>
        </w:rPr>
        <w:t>draw()</w:t>
      </w: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, também nativo do RainTpl</w:t>
      </w:r>
    </w:p>
    <w:p w14:paraId="1E59ED26" w14:textId="1AABE7C0" w:rsidR="00E872FB" w:rsidRPr="00E872FB" w:rsidRDefault="00E872FB" w:rsidP="00E87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72F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AC632B" wp14:editId="7C426865">
            <wp:extent cx="540004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88D8" w14:textId="77777777" w:rsidR="00E872FB" w:rsidRPr="00E872FB" w:rsidRDefault="00E872FB" w:rsidP="00E872FB">
      <w:pPr>
        <w:shd w:val="clear" w:color="auto" w:fill="F6EEFC"/>
        <w:spacing w:after="0" w:line="240" w:lineRule="auto"/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</w:pPr>
      <w:r w:rsidRPr="00E872FB">
        <w:rPr>
          <w:rFonts w:ascii="Roboto" w:eastAsia="Times New Roman" w:hAnsi="Roboto" w:cs="Times New Roman"/>
          <w:color w:val="1C1D1F"/>
          <w:sz w:val="21"/>
          <w:szCs w:val="21"/>
          <w:lang w:eastAsia="pt-BR"/>
        </w:rPr>
        <w:t>Assim, conseguimos renderizar a página HTML dinâmica</w:t>
      </w:r>
    </w:p>
    <w:p w14:paraId="72DB2429" w14:textId="77777777" w:rsidR="00303669" w:rsidRDefault="00E872FB"/>
    <w:sectPr w:rsidR="00303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B"/>
    <w:rsid w:val="00A36D98"/>
    <w:rsid w:val="00BF6B0A"/>
    <w:rsid w:val="00E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27B2"/>
  <w15:chartTrackingRefBased/>
  <w15:docId w15:val="{B50A6A29-0724-4C29-B62A-81CBBAB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87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8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 Felipe Affonso da Silva</dc:creator>
  <cp:keywords/>
  <dc:description/>
  <cp:lastModifiedBy>Rocha, Felipe Affonso da Silva</cp:lastModifiedBy>
  <cp:revision>1</cp:revision>
  <dcterms:created xsi:type="dcterms:W3CDTF">2022-08-05T04:01:00Z</dcterms:created>
  <dcterms:modified xsi:type="dcterms:W3CDTF">2022-08-05T04:02:00Z</dcterms:modified>
</cp:coreProperties>
</file>