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RELATORIO TECNICO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INSS RETIDO NAS NOTAS FISCAIS - MARCO/2026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Montana Assessoria de Servicos Ltda  |  CNPJ 14.092.519/0001-51</w:t>
      </w:r>
    </w:p>
    <w:p>
      <w:pPr>
        <w:pBdr>
          <w:bottom w:val="single" w:color="2E7D3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1. Objetivo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relatorio apresenta o levantamento do INSS retido pelos tomadores de servico nas notas fiscais emitidas pela Montana Assessoria de Servicos Ltda no mes de marco/2026, apurado diretamente do sistema WebISS (Prefeitura de Palmas) e dos registros do sistema de gestao interno.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objetivo e subsidiar a contabilidade (Luccas Contabilidade) com os valores corretos para: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Transmissao do evento eSocial S-1300 (Informacoes de Pagamentos de Servicos Tomados) referente a marco/2026;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Retificacao da DCTFWeb de marco/2026 para inclusao dos creditos de INSS retido;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Reducao do valor da Guia de INSS a recolher, cuja quitacao ainda nao foi efetuada.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D3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2. Situacao Atual da DCTFWeb - Marco/2026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DCTFWeb transmitida ate o momento considera apenas os seguintes creditos:</w:t>
      </w:r>
    </w:p>
    <w:tbl>
      <w:tblPr>
        <w:tblW w:type="dxa" w:w="9638"/>
      </w:tblPr>
      <w:tblGrid>
        <w:gridCol w:w="5638"/>
        <w:gridCol w:w="2000"/>
        <w:gridCol w:w="2000"/>
      </w:tblGrid>
      <w:tr>
        <w:trPr>
          <w:tblHeader/>
        </w:trPr>
        <w:tc>
          <w:tcPr>
            <w:tcW w:type="dxa" w:w="56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6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Guia INSS emitida (antes de creditos adicionais)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R$ 416.947,58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Nao paga ainda</w:t>
            </w:r>
          </w:p>
        </w:tc>
      </w:tr>
      <w:tr>
        <w:tc>
          <w:tcPr>
            <w:tcW w:type="dxa" w:w="56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(-) Creditos declarados: Salario Familia + Maternidade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R$ 26.377,75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2E"/>
                <w:sz w:val="20"/>
                <w:szCs w:val="20"/>
              </w:rPr>
              <w:t xml:space="preserve">Declarado</w:t>
            </w:r>
          </w:p>
        </w:tc>
      </w:tr>
      <w:tr>
        <w:tc>
          <w:tcPr>
            <w:tcW w:type="dxa" w:w="56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(-) Creditos INSS retido pelos tomadores (S-1300)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R$ 236.087,19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NAO DECLARADO</w:t>
            </w:r>
          </w:p>
        </w:tc>
      </w:tr>
      <w:tr>
        <w:tc>
          <w:tcPr>
            <w:tcW w:type="dxa" w:w="56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Guia correta a pagar apos retificadora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R$ 180.860,39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gerar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E6AC00" w:sz="6"/>
          <w:bottom w:val="single" w:color="E6AC00" w:sz="6"/>
          <w:left w:val="single" w:color="E6AC00" w:sz="6"/>
          <w:right w:val="single" w:color="E6AC00" w:sz="6"/>
        </w:pBdr>
        <w:shd w:fill="FFF2CC" w:val="clear"/>
        <w:spacing w:after="100" w:before="100"/>
      </w:pPr>
      <w:r>
        <w:rPr>
          <w:rFonts w:ascii="Arial" w:cs="Arial" w:eastAsia="Arial" w:hAnsi="Arial"/>
          <w:b/>
          <w:bCs/>
          <w:color w:val="7D4E00"/>
          <w:sz w:val="22"/>
          <w:szCs w:val="22"/>
        </w:rPr>
        <w:t xml:space="preserve">ATENCAO: </w:t>
      </w:r>
      <w:r>
        <w:rPr>
          <w:rFonts w:ascii="Arial" w:cs="Arial" w:eastAsia="Arial" w:hAnsi="Arial"/>
          <w:color w:val="7D4E00"/>
          <w:sz w:val="22"/>
          <w:szCs w:val="22"/>
        </w:rPr>
        <w:t xml:space="preserve">A guia de marco/2026 ainda nao foi paga. Ha oportunidade de recolher o valor correto de </w:t>
      </w:r>
      <w:r>
        <w:rPr>
          <w:rFonts w:ascii="Arial" w:cs="Arial" w:eastAsia="Arial" w:hAnsi="Arial"/>
          <w:b/>
          <w:bCs/>
          <w:color w:val="7D4E00"/>
          <w:sz w:val="22"/>
          <w:szCs w:val="22"/>
        </w:rPr>
        <w:t xml:space="preserve">R$ 180.860,39</w:t>
      </w:r>
      <w:r>
        <w:rPr>
          <w:rFonts w:ascii="Arial" w:cs="Arial" w:eastAsia="Arial" w:hAnsi="Arial"/>
          <w:color w:val="7D4E00"/>
          <w:sz w:val="22"/>
          <w:szCs w:val="22"/>
        </w:rPr>
        <w:t xml:space="preserve"> apos a retificadora, sem necessidade de compensacao futura.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D3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3. INSS Retido por Tomador - Marco/2026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Levantamento realizado NF a NF, com base nos dados do sistema WebISS (palmasto.webiss.com.br) e registros internos:</w:t>
      </w:r>
    </w:p>
    <w:tbl>
      <w:tblPr>
        <w:tblW w:type="dxa" w:w="9638"/>
      </w:tblPr>
      <w:tblGrid>
        <w:gridCol w:w="3200"/>
        <w:gridCol w:w="700"/>
        <w:gridCol w:w="1700"/>
        <w:gridCol w:w="1700"/>
        <w:gridCol w:w="900"/>
        <w:gridCol w:w="1438"/>
      </w:tblGrid>
      <w:tr>
        <w:trPr>
          <w:tblHeader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Tomador</w:t>
            </w:r>
          </w:p>
        </w:tc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Bruto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INSS Retido</w:t>
            </w:r>
          </w:p>
        </w:tc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INSS</w:t>
            </w:r>
          </w:p>
        </w:tc>
        <w:tc>
          <w:tcPr>
            <w:tcW w:type="dxa" w:w="14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Observacao</w:t>
            </w:r>
          </w:p>
        </w:tc>
      </w:tr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DETRAN-TO</w:t>
            </w:r>
          </w:p>
        </w:tc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R$ 527.124,19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R$ 57.983,66</w:t>
            </w:r>
          </w:p>
        </w:tc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11,0%</w:t>
            </w:r>
          </w:p>
        </w:tc>
        <w:tc>
          <w:tcPr>
            <w:tcW w:type="dxa" w:w="14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Correto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UFT - Fund. Univ. Federal do Tocantins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R$ 918.347,06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R$ 86.584,78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9,4%</w:t>
            </w:r>
          </w:p>
        </w:tc>
        <w:tc>
          <w:tcPr>
            <w:tcW w:type="dxa" w:w="14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 adm (11%) + limpeza c/ material</w:t>
            </w:r>
          </w:p>
        </w:tc>
      </w:tr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UFNT - Univ. Fed. Norte do Tocantins</w:t>
            </w:r>
          </w:p>
        </w:tc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R$ 637.551,10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R$ 54.729,53</w:t>
            </w:r>
          </w:p>
        </w:tc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8,6%</w:t>
            </w:r>
          </w:p>
        </w:tc>
        <w:tc>
          <w:tcPr>
            <w:tcW w:type="dxa" w:w="14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 adm (11%) + limpeza c/ material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UNITINS - Univ. Estadual do Tocantins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R$ 334.447,54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R$ 36.789,22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11,0%</w:t>
            </w:r>
          </w:p>
        </w:tc>
        <w:tc>
          <w:tcPr>
            <w:tcW w:type="dxa" w:w="14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Correto (bug de importacao corrigido)</w:t>
            </w:r>
          </w:p>
        </w:tc>
      </w:tr>
      <w:t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76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R$ 2.417.469,89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R$ 236.087,19</w:t>
            </w:r>
          </w:p>
        </w:tc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9,8%</w:t>
            </w:r>
          </w:p>
        </w:tc>
        <w:tc>
          <w:tcPr>
            <w:tcW w:type="dxa" w:w="14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Nota: UFT e UFNT possuem contratos mistos (apoio administrativo + limpeza/conservacao com fornecimento de material). Para os contratos de limpeza, a base de calculo do INSS retido e apenas a parcela de mao de obra, conforme a IN RFB 971/2009. O percentual abaixo de 11% nessas NFs e, portanto, correto e legal.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D3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4. Impacto Financeiro</w:t>
      </w:r>
    </w:p>
    <w:tbl>
      <w:tblPr>
        <w:tblW w:type="dxa" w:w="9638"/>
      </w:tblPr>
      <w:tblGrid>
        <w:gridCol w:w="6138"/>
        <w:gridCol w:w="3500"/>
      </w:tblGrid>
      <w:tr>
        <w:trPr>
          <w:tblHeader/>
        </w:trPr>
        <w:tc>
          <w:tcPr>
            <w:tcW w:type="dxa" w:w="61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61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Guia INSS emitida (DCTFWeb atual)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R$ 416.947,58</w:t>
            </w:r>
          </w:p>
        </w:tc>
      </w:tr>
      <w:tr>
        <w:tc>
          <w:tcPr>
            <w:tcW w:type="dxa" w:w="61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(-) INSS retido nas NFs - credito a declarar via S-1300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R$ 236.087,19</w:t>
            </w:r>
          </w:p>
        </w:tc>
      </w:tr>
      <w:tr>
        <w:tc>
          <w:tcPr>
            <w:tcW w:type="dxa" w:w="61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Guia correta apos retificadora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R$ 180.860,39</w:t>
            </w:r>
          </w:p>
        </w:tc>
      </w:tr>
      <w:tr>
        <w:tc>
          <w:tcPr>
            <w:tcW w:type="dxa" w:w="61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Economia imediata (sem aguardar compensacao futura)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R$ 236.087,19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D3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5. Acoes Solicitadas a Contabilidade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Transmitir o evento eSocial S-1300 de marco/2026 com os seguintes tomadores: DETRAN-TO, UFT, UFNT e UNITINS, com os valores constantes da tabela acima.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Apos transmissao do S-1300, retificar a DCTFWeb de marco/2026 para incorporar o credito de INSS retido no valor de R$ 236.087,19.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Emitir nova guia DARF/INSS no valor correto de R$ 180.860,39 para quitacao.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Realizar levantamento equivalente para janeiro e fevereiro/2026, cujas DCTFWebs tambem podem ter sido transmitidas sem o credito do S-1300.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Incluir o credito de INSS retido de abril/2026 antes da transmissao da DCTFWeb deste mes (vencimento 20/05/2026).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D3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6. Prazo e Urgencia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guia de INSS de marco/2026 ainda nao foi quitada. E necessario concluir a retificadora antes do pagamento para que o valor correto seja recolhido e evitar a necessidade de pedido de compensacao ou restituicao posterior.</w:t>
      </w:r>
    </w:p>
    <w:p>
      <w:pPr>
        <w:spacing w:after="120" w:before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Solicitamos providencias com carater de urgencia.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6" w:space="4"/>
        </w:pBdr>
        <w:spacing w:after="6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Felipe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Proprietario - Grupo Montana SEC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diretoria@grupomontanasec.com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Palmas - TO, 18 de abril de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9026"/>
      </w:tabs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Palmas - TO, 18 de abril de 2026</w:t>
    </w:r>
    <w:r>
      <w:rPr>
        <w:rFonts w:ascii="Arial" w:cs="Arial" w:eastAsia="Arial" w:hAnsi="Arial"/>
        <w:color w:val="888888"/>
        <w:sz w:val="16"/>
        <w:szCs w:val="16"/>
      </w:rPr>
      <w:t xml:space="preserve">	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4"/>
      </w:pBdr>
      <w:spacing w:after="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Montana Assessoria de Servicos Ltda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2026-04-18T19:51:04.479Z</dcterms:created>
  <dcterms:modified xsi:type="dcterms:W3CDTF">2026-04-18T19:51:04.479Z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