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8"/>
          <w:szCs w:val="38"/>
          <w:rtl w:val="0"/>
        </w:rPr>
        <w:t xml:space="preserve">Lab 1 Practical Obtain Sequence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8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 +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n+1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n+1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 A = 1 + 2 + 3 + … + (n-1) +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B = n +(n-1) + … + 3 + 2+ 1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A+B = 1+n + (2 + (n-1)) +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ab/>
        <w:t xml:space="preserve">= (n+1) +(n+1) + 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ab/>
        <w:t xml:space="preserve">= n(n+1)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2) </w:t>
        <w:tab/>
        <w:t xml:space="preserve">A=B =&gt; A+B = 2B = 2B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=&gt; A+B = 2A = n(n+1)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  </w:t>
      </w:r>
      <m:oMath>
        <m:r>
          <w:rPr>
            <w:b w:val="1"/>
            <w:color w:val="0c343d"/>
            <w:sz w:val="28"/>
            <w:szCs w:val="28"/>
          </w:rPr>
          <m:t xml:space="preserve">  A = (½)*n(n+1)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sequnce has constant diference =&gt; Arithmetic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sequnce has constant ratio =&gt; Geometric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Sequence solutions to diferential equations =&gt; power series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http://people.math.sc.edu/girardi/m142/handouts/10sTaylorPolySeries.pdf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Obtain Sequence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java program that calculates the power series for sin(x)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375.6521739130435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eople.math.sc.edu/girardi/m142/handouts/10sTaylorPolySeries.pdf" TargetMode="External"/></Relationships>
</file>