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Counting and Optimisation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Top Level Learning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1 Understand Counting  as it applies to Algorithms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Understand Optimisation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3  Understand associated concepts related to Counting and Optimisation such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dynamic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Counting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Sliding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Counting for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https://en.wikipedia.org/wiki/Combinatorics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Optimisation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https://en.wikipedia.org/wiki/Mathematical_optimization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https://en.wikipedia.org/wiki/Dynamic_programming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Guided Learning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Sliding window maxima and minima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Generally speaking a sliding window is a sub-list that runs over 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underlying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rtl w:val="0"/>
        </w:rPr>
        <w:t xml:space="preserve">Sequence -&gt;  [a b c d e f g h] and w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[a b c]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[b c d]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[c d e]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[d e f]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[e f g]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c343d"/>
          <w:sz w:val="16"/>
          <w:szCs w:val="16"/>
          <w:rtl w:val="0"/>
        </w:rPr>
        <w:t xml:space="preserve">[f g 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Practical   Application of a Sliding 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Solution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Counting patterns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Counting  as it applies to Algorithms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Combinations and Permutations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https://en.wikipedia.org/wiki/Combination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https://en.wikipedia.org/wiki/Permutation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 with large numbers and arithmetic  opperations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Guided Learning Task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Count Combinations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 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Practical   Application of Counting to  Permutations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Solution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Counting Theorem for Algorithms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Efficient Code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fastest, most memory efficient code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as a rule the fewer instructions a program executes the faster it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runs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Counting Theorem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https://en.wikipedia.org/wiki/Pigeonhole_principle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Guided Learning Tasks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Pigeon-Hole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Practical  Application of the Counting Theorem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Solution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Combination" TargetMode="External"/></Relationships>
</file>