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Lab Solution Question Sets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</w:t>
      </w: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  BST →  binary tree where  any node is larger than  nodes in that node's left subtree and smaller than all nodes in that node's right subtree.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Q2 the height of the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Q3  Left,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Q4  Far Right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Q5  Far  Left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</w:t>
      </w:r>
      <w:r w:rsidDel="00000000" w:rsidR="00000000" w:rsidRPr="00000000">
        <w:rPr>
          <w:sz w:val="23"/>
          <w:szCs w:val="23"/>
          <w:rtl w:val="0"/>
        </w:rPr>
        <w:t xml:space="preserve">easy to compute, uniformly distributes the keys, equal keys produce the same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Q2  two or more keys  hash to the same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Q3</w:t>
      </w:r>
      <w:r w:rsidDel="00000000" w:rsidR="00000000" w:rsidRPr="00000000">
        <w:rPr>
          <w:rtl w:val="0"/>
        </w:rPr>
        <w:t xml:space="preserve"> works for integers, floats and strings with only small adaptations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Q4  AVL tree → height balancing binary search tree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        → height of left and right sub-trees  &lt;  Balance Factor ~=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Q5 AVL tree  → rotations to perform balancing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