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Greedy Programming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Dynamic Programming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Substructure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Optimal Solution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and Local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Greedy Programming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Greedy Choice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Greedy Concepts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Guided Learning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Greedy Programming Concepts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a Greedy Solution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Lab 1 Overlapping Segment Application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Lab 1 Solution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Dynamic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dynamic optimization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optimal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Guided Learning Tasks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Dynamic Programming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rtl w:val="0"/>
        </w:rPr>
        <w:t xml:space="preserve">Dynamic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Lab 2 Optimise Stock Trades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Lab 2 Solution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Divide-and-Conquer Algorithms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multi-branched </w:t>
      </w:r>
      <w:hyperlink r:id="rId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Guided Learning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Divide-and-Conquer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a Divide-and-Conquer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3 Count the Unique Inversions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Lab 3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Recursion" TargetMode="External"/></Relationships>
</file>