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uso</w:t>
        <w:br/>
        <w:t>Zé Registra</w:t>
      </w:r>
    </w:p>
    <w:p>
      <w:r>
        <w:t>Pesquisa, CRM, processos, propostas e operação financeira</w:t>
      </w:r>
    </w:p>
    <w:p>
      <w:r>
        <w:t>Versão RC2 · 17/08/2026</w:t>
      </w:r>
    </w:p>
    <w:p>
      <w:r>
        <w:t>Este manual orienta o uso diário. Resultados de pesquisa são indicativos e não substituem exame do INPI ou revisão jurídica especializada.</w:t>
      </w:r>
    </w:p>
    <w:p>
      <w:pPr>
        <w:pStyle w:val="Heading1"/>
      </w:pPr>
      <w:r>
        <w:t>Como começar</w:t>
      </w:r>
    </w:p>
    <w:p>
      <w:pPr>
        <w:pStyle w:val="ListNumber"/>
      </w:pPr>
      <w:r>
        <w:t>Acesse o endereço da aplicação.</w:t>
      </w:r>
    </w:p>
    <w:p>
      <w:pPr>
        <w:pStyle w:val="ListNumber"/>
      </w:pPr>
      <w:r>
        <w:t>Entre com seu usuário e conclua MFA quando habilitado.</w:t>
      </w:r>
    </w:p>
    <w:p>
      <w:pPr>
        <w:pStyle w:val="ListNumber"/>
      </w:pPr>
      <w:r>
        <w:t>Confira as permissões do seu perfil.</w:t>
      </w:r>
    </w:p>
    <w:p>
      <w:pPr>
        <w:pStyle w:val="ListNumber"/>
      </w:pPr>
      <w:r>
        <w:t>Use Sair ao terminar e não compartilhe credenciais.</w:t>
      </w:r>
    </w:p>
    <w:p>
      <w:pPr>
        <w:pStyle w:val="Heading1"/>
      </w:pPr>
      <w:r>
        <w:t>Navegação principal</w:t>
      </w:r>
    </w:p>
    <w:p>
      <w:pPr>
        <w:pStyle w:val="ListBullet"/>
      </w:pPr>
      <w:r>
        <w:t>Visão geral: indicadores e pendências.</w:t>
      </w:r>
    </w:p>
    <w:p>
      <w:pPr>
        <w:pStyle w:val="ListBullet"/>
      </w:pPr>
      <w:r>
        <w:t>Leads/CRM: empresas, contatos, oportunidades, timeline e tarefas.</w:t>
      </w:r>
    </w:p>
    <w:p>
      <w:pPr>
        <w:pStyle w:val="ListBullet"/>
      </w:pPr>
      <w:r>
        <w:t>Processos monitorados: carteira, situação no INPI e prioridade.</w:t>
      </w:r>
    </w:p>
    <w:p>
      <w:pPr>
        <w:pStyle w:val="ListBullet"/>
      </w:pPr>
      <w:r>
        <w:t>Consulta RPI: publicações, filtros e registros.</w:t>
      </w:r>
    </w:p>
    <w:p>
      <w:pPr>
        <w:pStyle w:val="ListBullet"/>
      </w:pPr>
      <w:r>
        <w:t>Análises e busca: anterioridade, Nice, Viena e revisão humana.</w:t>
      </w:r>
    </w:p>
    <w:p>
      <w:pPr>
        <w:pStyle w:val="ListBullet"/>
      </w:pPr>
      <w:r>
        <w:t>Propostas: PDF, link, aceite, pagamento e SLA.</w:t>
      </w:r>
    </w:p>
    <w:p>
      <w:pPr>
        <w:pStyle w:val="ListBullet"/>
      </w:pPr>
      <w:r>
        <w:t>Financeiro: serviços, parcelas, GRUs, recibos e inadimplência.</w:t>
      </w:r>
    </w:p>
    <w:p>
      <w:pPr>
        <w:pStyle w:val="ListBullet"/>
      </w:pPr>
      <w:r>
        <w:t>Produção e auditoria: eventos e logs.</w:t>
      </w:r>
    </w:p>
    <w:p>
      <w:pPr>
        <w:pStyle w:val="ListBullet"/>
      </w:pPr>
      <w:r>
        <w:t>Observabilidade: banco, fila, RPI e métricas.</w:t>
      </w:r>
    </w:p>
    <w:p>
      <w:pPr>
        <w:pStyle w:val="Heading1"/>
      </w:pPr>
      <w:r>
        <w:t>CRM e atendimento</w:t>
      </w:r>
    </w:p>
    <w:p>
      <w:r>
        <w:t>Empresa, contato e oportunidade são entidades separadas. Oportunidade aberta exige responsável e próxima ação.</w:t>
      </w:r>
    </w:p>
    <w:p>
      <w:pPr>
        <w:pStyle w:val="ListNumber"/>
      </w:pPr>
      <w:r>
        <w:t>Abra Leads e localize a oportunidade.</w:t>
      </w:r>
    </w:p>
    <w:p>
      <w:pPr>
        <w:pStyle w:val="ListNumber"/>
      </w:pPr>
      <w:r>
        <w:t>Use Abrir análise para revisar evidências e pendências.</w:t>
      </w:r>
    </w:p>
    <w:p>
      <w:pPr>
        <w:pStyle w:val="ListNumber"/>
      </w:pPr>
      <w:r>
        <w:t>Use Abrir contato para registrar cliente, data/hora, observação e próximo contato.</w:t>
      </w:r>
    </w:p>
    <w:p>
      <w:pPr>
        <w:pStyle w:val="ListNumber"/>
      </w:pPr>
      <w:r>
        <w:t>Registre toda interação na timeline.</w:t>
      </w:r>
    </w:p>
    <w:p>
      <w:pPr>
        <w:pStyle w:val="ListNumber"/>
      </w:pPr>
      <w:r>
        <w:t>Use Gerar proposta quando a oportunidade estiver pronta.</w:t>
      </w:r>
    </w:p>
    <w:p>
      <w:r>
        <w:t>Sequências de atendimento ficam em Configuração &gt; Regras automáticas. Tarefas automáticas são idempotentes e alertas indicam atrasos.</w:t>
      </w:r>
    </w:p>
    <w:p>
      <w:pPr>
        <w:pStyle w:val="Heading1"/>
      </w:pPr>
      <w:r>
        <w:t>Consulta RPI e processos</w:t>
      </w:r>
    </w:p>
    <w:p>
      <w:pPr>
        <w:pStyle w:val="ListNumber"/>
      </w:pPr>
      <w:r>
        <w:t>Abra Consulta RPI e pesquise por número, titular ou despacho.</w:t>
      </w:r>
    </w:p>
    <w:p>
      <w:pPr>
        <w:pStyle w:val="ListNumber"/>
      </w:pPr>
      <w:r>
        <w:t>Abra os registros da RPI e use o filtro Situação no INPI.</w:t>
      </w:r>
    </w:p>
    <w:p>
      <w:pPr>
        <w:pStyle w:val="ListNumber"/>
      </w:pPr>
      <w:r>
        <w:t>Em Processos monitorados, use os cards para filtrar a carteira.</w:t>
      </w:r>
    </w:p>
    <w:p>
      <w:pPr>
        <w:pStyle w:val="ListNumber"/>
      </w:pPr>
      <w:r>
        <w:t>Confira número oficial, marca, titular, Nice, Viena e movimentações.</w:t>
      </w:r>
    </w:p>
    <w:p>
      <w:pPr>
        <w:pStyle w:val="ListNumber"/>
      </w:pPr>
      <w:r>
        <w:t>Arquivos RPI vazios, parciais ou corrompidos não devem ser importados.</w:t>
      </w:r>
    </w:p>
    <w:p>
      <w:pPr>
        <w:pStyle w:val="Heading1"/>
      </w:pPr>
      <w:r>
        <w:t>Propostas e protocolo em 24 horas</w:t>
      </w:r>
    </w:p>
    <w:p>
      <w:pPr>
        <w:pStyle w:val="ListNumber"/>
      </w:pPr>
      <w:r>
        <w:t>Preencha marca, classes, escopo, honorários, GRU e condições.</w:t>
      </w:r>
    </w:p>
    <w:p>
      <w:pPr>
        <w:pStyle w:val="ListNumber"/>
      </w:pPr>
      <w:r>
        <w:t>Gere e revise o PDF antes do envio.</w:t>
      </w:r>
    </w:p>
    <w:p>
      <w:pPr>
        <w:pStyle w:val="ListNumber"/>
      </w:pPr>
      <w:r>
        <w:t>Envie o link público seguro.</w:t>
      </w:r>
    </w:p>
    <w:p>
      <w:pPr>
        <w:pStyle w:val="ListNumber"/>
      </w:pPr>
      <w:r>
        <w:t>O SLA só começa após aceite, pagamento confirmado e documentos obrigatórios recebidos.</w:t>
      </w:r>
    </w:p>
    <w:p>
      <w:pPr>
        <w:pStyle w:val="ListNumber"/>
      </w:pPr>
      <w:r>
        <w:t>Registre responsável, protocolo oficial, comprovante e motivo de atraso quando houver.</w:t>
      </w:r>
    </w:p>
    <w:p>
      <w:pPr>
        <w:pStyle w:val="Heading1"/>
      </w:pPr>
      <w:r>
        <w:t>Financeiro</w:t>
      </w:r>
    </w:p>
    <w:p>
      <w:pPr>
        <w:pStyle w:val="ListNumber"/>
      </w:pPr>
      <w:r>
        <w:t>Cadastre serviços e indique recorrência.</w:t>
      </w:r>
    </w:p>
    <w:p>
      <w:pPr>
        <w:pStyle w:val="ListNumber"/>
      </w:pPr>
      <w:r>
        <w:t>Contrate vinculando a proposta, oportunidade/lead ou processo.</w:t>
      </w:r>
    </w:p>
    <w:p>
      <w:pPr>
        <w:pStyle w:val="ListNumber"/>
      </w:pPr>
      <w:r>
        <w:t>Confira parcelas e vencimentos.</w:t>
      </w:r>
    </w:p>
    <w:p>
      <w:pPr>
        <w:pStyle w:val="ListNumber"/>
      </w:pPr>
      <w:r>
        <w:t>Registre baixa após confirmação e emita recibo.</w:t>
      </w:r>
    </w:p>
    <w:p>
      <w:pPr>
        <w:pStyle w:val="ListNumber"/>
      </w:pPr>
      <w:r>
        <w:t>Acompanhe inadimplência, GRUs, renovações e manutenções.</w:t>
      </w:r>
    </w:p>
    <w:p>
      <w:pPr>
        <w:pStyle w:val="Heading1"/>
      </w:pPr>
      <w:r>
        <w:t>Portal e documentos</w:t>
      </w:r>
    </w:p>
    <w:p>
      <w:pPr>
        <w:pStyle w:val="ListBullet"/>
      </w:pPr>
      <w:r>
        <w:t>O cliente vê somente seus próprios dados.</w:t>
      </w:r>
    </w:p>
    <w:p>
      <w:pPr>
        <w:pStyle w:val="ListBullet"/>
      </w:pPr>
      <w:r>
        <w:t>O responsável pelo atendimento pode gerar ou abrir o acesso.</w:t>
      </w:r>
    </w:p>
    <w:p>
      <w:pPr>
        <w:pStyle w:val="ListBullet"/>
      </w:pPr>
      <w:r>
        <w:t>Pendências obrigatórias bloqueiam a etapa necessária.</w:t>
      </w:r>
    </w:p>
    <w:p>
      <w:pPr>
        <w:pStyle w:val="ListBullet"/>
      </w:pPr>
      <w:r>
        <w:t>Documento assinado alterado gera nova versão com hash e histórico.</w:t>
      </w:r>
    </w:p>
    <w:p>
      <w:pPr>
        <w:pStyle w:val="ListBullet"/>
      </w:pPr>
      <w:r>
        <w:t>Revogue acessos encerrados.</w:t>
      </w:r>
    </w:p>
    <w:p>
      <w:pPr>
        <w:pStyle w:val="Heading1"/>
      </w:pPr>
      <w:r>
        <w:t>Observabilidade e suporte</w:t>
      </w:r>
    </w:p>
    <w:p>
      <w:pPr>
        <w:pStyle w:val="ListBullet"/>
      </w:pPr>
      <w:r>
        <w:t>/health: visão geral; /health/db: banco; /health/rpi: sincronização; /health/queue: fila; /metrics: métricas.</w:t>
      </w:r>
    </w:p>
    <w:p>
      <w:pPr>
        <w:pStyle w:val="ListBullet"/>
      </w:pPr>
      <w:r>
        <w:t>Em chamados, informe horário, tela, tenant, usuário, request ID e passos para reproduzir.</w:t>
      </w:r>
    </w:p>
    <w:p>
      <w:pPr>
        <w:pStyle w:val="ListBullet"/>
      </w:pPr>
      <w:r>
        <w:t>Nunca envie senhas, tokens ou segredos.</w:t>
      </w:r>
    </w:p>
    <w:p>
      <w:pPr>
        <w:pStyle w:val="Heading1"/>
      </w:pPr>
      <w:r>
        <w:t>Boas práticas</w:t>
      </w:r>
    </w:p>
    <w:p>
      <w:pPr>
        <w:pStyle w:val="ListBullet"/>
      </w:pPr>
      <w:r>
        <w:t>Confirme tenant e cliente antes de editar.</w:t>
      </w:r>
    </w:p>
    <w:p>
      <w:pPr>
        <w:pStyle w:val="ListBullet"/>
      </w:pPr>
      <w:r>
        <w:t>Use filtros e paginação.</w:t>
      </w:r>
    </w:p>
    <w:p>
      <w:pPr>
        <w:pStyle w:val="ListBullet"/>
      </w:pPr>
      <w:r>
        <w:t>Score não substitui parecer jurídico.</w:t>
      </w:r>
    </w:p>
    <w:p>
      <w:pPr>
        <w:pStyle w:val="ListBullet"/>
      </w:pPr>
      <w:r>
        <w:t>Confira histórico antes de alterar proposta, pagamento ou documento.</w:t>
      </w:r>
    </w:p>
    <w:p>
      <w:pPr>
        <w:pStyle w:val="ListBullet"/>
      </w:pPr>
      <w:r>
        <w:t>Em dúvida sobre acesso cruzado, pare e acione Tech.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5C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5C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A5C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