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r>
        <w:trPr>
          <w:trHeight w:val="340" w:hRule="atLeast"/>
        </w:trPr>
        <w:tc>
          <w:tcPr>
            <w:tcW w:w="737" w:type="dxa"/>
            <w:tcBorders>
              <w:left w:val="single" w:sz="4" w:space="0" w:color="999999"/>
              <w:bottom w:val="single" w:sz="4" w:space="0" w:color="999999"/>
              <w:right w:val="single" w:sz="4" w:space="0" w:color="999999"/>
            </w:tcBorders>
            <w:vAlign w:val="center"/>
          </w:tcPr>
          <w:p>
            <w:pPr>
              <w:pStyle w:val="Verses"/>
              <w:widowControl w:val="false"/>
              <w:rPr/>
            </w:pPr>
            <w:r>
              <w:rPr/>
              <w:t>1.1</w:t>
            </w:r>
          </w:p>
        </w:tc>
        <w:tc>
          <w:tcPr>
            <w:tcW w:w="1128" w:type="dxa"/>
            <w:tcBorders>
              <w:left w:val="single" w:sz="4" w:space="0" w:color="999999"/>
              <w:bottom w:val="single" w:sz="4" w:space="0" w:color="999999"/>
              <w:right w:val="single" w:sz="4" w:space="0" w:color="999999"/>
            </w:tcBorders>
            <w:vAlign w:val="center"/>
          </w:tcPr>
          <w:p>
            <w:pPr>
              <w:pStyle w:val="Verses"/>
              <w:widowControl w:val="false"/>
              <w:rPr/>
            </w:pPr>
            <w:r>
              <w:rPr/>
              <w:t>2</w:t>
            </w:r>
            <w:r>
              <w:rPr>
                <w:rFonts w:eastAsia="Calibri" w:cs="" w:cstheme="minorBidi" w:eastAsiaTheme="minorHAnsi"/>
                <w:color w:val="auto"/>
                <w:kern w:val="0"/>
                <w:sz w:val="22"/>
                <w:szCs w:val="22"/>
                <w:lang w:val="pt-BR" w:eastAsia="en-US" w:bidi="ar-SA"/>
              </w:rPr>
              <w:t>8</w:t>
            </w:r>
            <w:r>
              <w:rPr/>
              <w:t>/01</w:t>
            </w:r>
          </w:p>
        </w:tc>
        <w:tc>
          <w:tcPr>
            <w:tcW w:w="2421" w:type="dxa"/>
            <w:tcBorders>
              <w:left w:val="single" w:sz="4" w:space="0" w:color="999999"/>
              <w:bottom w:val="single" w:sz="4" w:space="0" w:color="999999"/>
              <w:right w:val="single" w:sz="4" w:space="0" w:color="999999"/>
            </w:tcBorders>
            <w:vAlign w:val="center"/>
          </w:tcPr>
          <w:p>
            <w:pPr>
              <w:pStyle w:val="Verses"/>
              <w:widowControl w:val="false"/>
              <w:rPr/>
            </w:pPr>
            <w:r>
              <w:rPr/>
              <w:t>Felipe Maques</w:t>
            </w:r>
          </w:p>
        </w:tc>
        <w:tc>
          <w:tcPr>
            <w:tcW w:w="4388" w:type="dxa"/>
            <w:tcBorders>
              <w:left w:val="single" w:sz="4" w:space="0" w:color="999999"/>
              <w:bottom w:val="single" w:sz="4" w:space="0" w:color="999999"/>
              <w:right w:val="single" w:sz="4" w:space="0" w:color="999999"/>
            </w:tcBorders>
            <w:vAlign w:val="center"/>
          </w:tcPr>
          <w:p>
            <w:pPr>
              <w:pStyle w:val="Verses"/>
              <w:widowControl w:val="false"/>
              <w:rPr/>
            </w:pPr>
            <w:r>
              <w:rPr/>
              <w:t>Atualização da introdução e  estatística.</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62845644"/>
      <w:bookmarkStart w:id="3" w:name="_Toc304754461"/>
      <w:bookmarkStart w:id="4" w:name="_Toc40037897"/>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 xml:space="preserve">A base de dados utilizada neste estudo foi obtida através de uma pesquisa no site de </w:t>
      </w:r>
      <w:hyperlink r:id="rId2" w:tgtFrame="_top">
        <w:r>
          <w:rPr>
            <w:rStyle w:val="LinkdaInternet"/>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site de pesquisa de dados do google</w:t>
        </w:r>
      </w:hyperlink>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 xml:space="preserve">. </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w:t>
            </w:r>
            <w:r>
              <w:rPr>
                <w:rFonts w:eastAsia="" w:cs="" w:cstheme="majorBidi" w:eastAsiaTheme="majorEastAsia" w:ascii="Liberation Serif" w:hAnsi="Liberation Serif"/>
                <w:b w:val="false"/>
                <w:bCs w:val="false"/>
                <w:i w:val="false"/>
                <w:iCs w:val="false"/>
                <w:caps w:val="false"/>
                <w:smallCaps w:val="false"/>
                <w:color w:val="000000"/>
                <w:spacing w:val="0"/>
                <w:kern w:val="0"/>
                <w:sz w:val="20"/>
                <w:szCs w:val="20"/>
                <w:shd w:fill="FFFFFF" w:val="clear"/>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Á</w:t>
            </w:r>
            <w:r>
              <w:rPr>
                <w:rStyle w:val="Nfaseforte"/>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 xml:space="preserve">cido cítrico </w:t>
            </w:r>
            <w:r>
              <w:rPr>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(fermentação malolática)</w:t>
            </w:r>
            <w:r>
              <w:rPr>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 xml:space="preserve">. Também é possível dizer que é fresco, porém, em alguns casos, pode conferir um </w:t>
            </w:r>
            <w:r>
              <w:rPr>
                <w:rStyle w:val="Nfaseforte"/>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 xml:space="preserve">paladar amargo </w:t>
            </w:r>
            <w:r>
              <w:rPr>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no final.</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Dióxido de enxofre livre</w:t>
            </w:r>
          </w:p>
        </w:tc>
        <w:tc>
          <w:tcPr>
            <w:tcW w:w="5616" w:type="dxa"/>
            <w:tcBorders>
              <w:left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dióxido de enxofre livre corresponde àquele encontrado na forma de SO2 e de combinações minerais do tipo H2 SO3 , HSO3 - e SO2- 3.</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Dióxido de enxofre total</w:t>
            </w:r>
          </w:p>
        </w:tc>
        <w:tc>
          <w:tcPr>
            <w:tcW w:w="5616" w:type="dxa"/>
            <w:tcBorders>
              <w:left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dióxido de enxofre total corresponde à soma do dióxido de enxofre livre mais o combinado existente no vinho.</w:t>
            </w:r>
          </w:p>
        </w:tc>
      </w:tr>
      <w:tr>
        <w:trPr/>
        <w:tc>
          <w:tcPr>
            <w:tcW w:w="2887"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Densidade</w:t>
            </w:r>
          </w:p>
        </w:tc>
        <w:tc>
          <w:tcPr>
            <w:tcW w:w="5616" w:type="dxa"/>
            <w:tcBorders>
              <w:left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PH</w:t>
            </w:r>
          </w:p>
        </w:tc>
        <w:tc>
          <w:tcPr>
            <w:tcW w:w="5616" w:type="dxa"/>
            <w:tcBorders>
              <w:left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Sulfato</w:t>
            </w:r>
          </w:p>
        </w:tc>
        <w:tc>
          <w:tcPr>
            <w:tcW w:w="5616" w:type="dxa"/>
            <w:tcBorders>
              <w:left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álcool é um resultado natural da produção do vinho.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Ou seja, ele não é acrescentado durante o processo, mas sim passa a existir graças a determinadas reações químicas.</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Essas leveduras existem tanto nas próprias uvas quanto nas vinhas e nos barris de carvalho, utilizados para o amadurecimento da bebida.</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Depois de se alimentarem de açúcar, elas sintetizam dióxido de carbono e etanol, que é o álcool dos vinhos.</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Esse é o tão famoso processo de fermentação: a sintetização das leveduras, que transformam a glicose e a frutose em álcool.</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Logo, o teor alcoólico do vinho existe naturalmente, graças a esse processo.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Existe uma exceção bastante conhecida, que é o caso dos vinhos do Porto, que recebem aguardente vínica para que o processo de fermentação seja interrompido.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b/>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462845645"/>
      <w:bookmarkStart w:id="6" w:name="_Toc304754462"/>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62845646"/>
      <w:bookmarkStart w:id="8" w:name="_Toc304754463"/>
      <w:bookmarkStart w:id="9" w:name="_Toc40037898"/>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 análise estatística 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 mediana é uma medida de tendência central da Estatística que corresponde ao valor central de um conjunto de valores ordenados.</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Liberation Serif" w:hAnsi="Liberation Serif" w:eastAsia="" w:cs="" w:cstheme="majorBidi" w:eastAsiaTheme="majorEastAsia"/>
                <w:b w:val="false"/>
                <w:b w:val="false"/>
                <w:bCs w:val="false"/>
                <w:i w:val="false"/>
                <w:i w:val="false"/>
                <w:iCs w:val="false"/>
                <w:caps w:val="false"/>
                <w:smallCaps w:val="false"/>
                <w:color w:val="000000"/>
                <w:spacing w:val="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aps w:val="false"/>
                <w:smallCaps w:val="false"/>
                <w:color w:val="000000"/>
                <w:spacing w:val="0"/>
                <w:kern w:val="0"/>
                <w:sz w:val="20"/>
                <w:szCs w:val="20"/>
                <w:shd w:fill="FFFFFF" w:val="clear"/>
                <w:lang w:val="pt-BR" w:eastAsia="en-US" w:bidi="ar-SA"/>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Variância</w:t>
            </w:r>
          </w:p>
        </w:tc>
        <w:tc>
          <w:tcPr>
            <w:tcW w:w="4251" w:type="dxa"/>
            <w:tcBorders>
              <w:left w:val="single" w:sz="2" w:space="0" w:color="000000"/>
              <w:right w:val="single" w:sz="2" w:space="0" w:color="000000"/>
            </w:tcBorders>
          </w:tcPr>
          <w:p>
            <w:pPr>
              <w:pStyle w:val="Contedodatabela"/>
              <w:widowControl w:val="false"/>
              <w:jc w:val="both"/>
              <w:rPr>
                <w:rFonts w:ascii="Liberation Serif" w:hAnsi="Liberation Serif" w:eastAsia="" w:cs="" w:cstheme="majorBidi" w:eastAsiaTheme="majorEastAsia"/>
                <w:b w:val="false"/>
                <w:b w:val="false"/>
                <w:bCs w:val="false"/>
                <w:i w:val="false"/>
                <w:i w:val="false"/>
                <w:iCs w:val="false"/>
                <w:caps w:val="false"/>
                <w:smallCaps w:val="false"/>
                <w:color w:val="000000"/>
                <w:spacing w:val="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aps w:val="false"/>
                <w:smallCaps w:val="false"/>
                <w:color w:val="000000"/>
                <w:spacing w:val="0"/>
                <w:kern w:val="0"/>
                <w:sz w:val="20"/>
                <w:szCs w:val="20"/>
                <w:shd w:fill="FFFFFF" w:val="clear"/>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Liberation Serif" w:hAnsi="Liberation Serif" w:eastAsia="" w:cs="" w:cstheme="majorBidi" w:eastAsiaTheme="majorEastAsia"/>
                <w:b w:val="false"/>
                <w:b w:val="false"/>
                <w:bCs w:val="false"/>
                <w:i w:val="false"/>
                <w:i w:val="false"/>
                <w:iCs w:val="false"/>
                <w:caps w:val="false"/>
                <w:smallCaps w:val="false"/>
                <w:color w:val="000000"/>
                <w:spacing w:val="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aps w:val="false"/>
                <w:smallCaps w:val="false"/>
                <w:color w:val="000000"/>
                <w:spacing w:val="0"/>
                <w:kern w:val="0"/>
                <w:sz w:val="20"/>
                <w:szCs w:val="20"/>
                <w:shd w:fill="FFFFFF" w:val="clear"/>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Maior Valor</w:t>
            </w:r>
          </w:p>
        </w:tc>
        <w:tc>
          <w:tcPr>
            <w:tcW w:w="4251" w:type="dxa"/>
            <w:tcBorders>
              <w:left w:val="single" w:sz="2" w:space="0" w:color="000000"/>
              <w:righ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Apresenta o menor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ab/>
      </w:r>
      <w:r>
        <w:rPr>
          <w:rFonts w:eastAsia="" w:cs="" w:cstheme="majorBidi" w:eastAsiaTheme="majorEastAsia" w:ascii="Liberation Serif" w:hAnsi="Liberation Serif"/>
          <w:b w:val="false"/>
          <w:bCs w:val="false"/>
          <w:i w:val="false"/>
          <w:iCs w:val="false"/>
          <w:caps w:val="false"/>
          <w:smallCaps w:val="false"/>
          <w:color w:val="000000"/>
          <w:spacing w:val="0"/>
          <w:kern w:val="0"/>
          <w:sz w:val="20"/>
          <w:szCs w:val="20"/>
          <w:shd w:fill="FFFFFF" w:val="clear"/>
          <w:lang w:val="pt-BR" w:eastAsia="en-US" w:bidi="ar-SA"/>
        </w:rPr>
        <w:t>O arquivo “DCWine/DadosGerados/EstatisticaRedWine.csv” contém os resultados das medidas listadas na tabela 2.1.</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aps w:val="false"/>
          <w:smallCaps w:val="false"/>
          <w:color w:val="000000"/>
          <w:spacing w:val="0"/>
          <w:kern w:val="0"/>
          <w:sz w:val="20"/>
          <w:szCs w:val="20"/>
          <w:shd w:fill="FFFFFF" w:val="clear"/>
          <w:lang w:val="pt-BR" w:eastAsia="en-US" w:bidi="ar-SA"/>
        </w:rPr>
        <w:tab/>
        <w:t>Os gráficos gerados a partir destes resultados são apresentados a seguir. A figura 2.1 apresenta a média das características.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54000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400040" cy="5400040"/>
                    </a:xfrm>
                    <a:prstGeom prst="rect">
                      <a:avLst/>
                    </a:prstGeom>
                  </pic:spPr>
                </pic:pic>
              </a:graphicData>
            </a:graphic>
          </wp:anchor>
        </w:drawing>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b/>
          <w:bCs/>
          <w:i w:val="false"/>
          <w:iCs w:val="false"/>
          <w:color w:val="C9211E" w:themeShade="bf"/>
          <w:kern w:val="0"/>
          <w:sz w:val="16"/>
          <w:szCs w:val="20"/>
          <w:lang w:val="pt-BR" w:eastAsia="pt-BR" w:bidi="ar-SA"/>
        </w:rPr>
        <w:t>Figura 2.1:</w:t>
      </w:r>
      <w:r>
        <w:rPr>
          <w:rFonts w:eastAsia="Times" w:cs="Times New Roman"/>
          <w:b w:val="false"/>
          <w:bCs w:val="false"/>
          <w:i w:val="false"/>
          <w:iCs w:val="false"/>
          <w:color w:val="C9211E" w:themeShade="bf"/>
          <w:kern w:val="0"/>
          <w:sz w:val="16"/>
          <w:szCs w:val="20"/>
          <w:lang w:val="pt-BR" w:eastAsia="pt-BR" w:bidi="ar-SA"/>
        </w:rPr>
        <w:t xml:space="preserve"> Media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2.1]</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D7"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D7" w:val="clear"/>
          <w:lang w:val="pt-BR" w:eastAsia="en-US" w:bidi="ar-SA"/>
        </w:rPr>
      </w:r>
    </w:p>
    <w:p>
      <w:pPr>
        <w:pStyle w:val="Normal"/>
        <w:numPr>
          <w:ilvl w:val="0"/>
          <w:numId w:val="0"/>
        </w:numPr>
        <w:ind w:left="864" w:hanging="0"/>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Na figura 2.2 é apresentado a mediana das características.</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51400" cy="48514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4851400" cy="485140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2.2:</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Mediana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2.2]</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O próximo gráfico, apresentado na figura 2.3, é responsável por apresentar os dados do desvio padrão, onde estes dados apresentam o quão homogêneo são as característica dos vinhos tintos. Indica quanta observação de um conjunto de dados difere de sua média.</w:t>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540004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2.3:</w:t>
      </w:r>
      <w:r>
        <w:rPr>
          <w:rFonts w:eastAsia="Times" w:cs="Times New Roman"/>
          <w:b w:val="false"/>
          <w:bCs w:val="false"/>
          <w:i w:val="false"/>
          <w:iCs w:val="false"/>
          <w:color w:val="C9211E" w:themeShade="bf"/>
          <w:kern w:val="0"/>
          <w:sz w:val="16"/>
          <w:szCs w:val="20"/>
          <w:lang w:val="pt-BR" w:eastAsia="pt-BR" w:bidi="ar-SA"/>
        </w:rPr>
        <w:t xml:space="preserve"> Desvio padrão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2.3]</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b w:val="false"/>
          <w:b w:val="false"/>
          <w:i w:val="false"/>
          <w:i w:val="false"/>
          <w:color w:val="000000"/>
          <w:sz w:val="22"/>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 xml:space="preserve">Agora são apresentado, no gráfico 2.4, os dados da variância dos dados das características dos vinhos tintos, onde a  </w:t>
      </w:r>
      <w:r>
        <w:rPr>
          <w:rFonts w:eastAsia="" w:cs="" w:ascii="Liberation Serif" w:hAnsi="Liberation Serif" w:cstheme="majorBidi" w:eastAsiaTheme="majorEastAsia"/>
          <w:b w:val="false"/>
          <w:bCs w:val="false"/>
          <w:i w:val="false"/>
          <w:iCs w:val="false"/>
          <w:caps w:val="false"/>
          <w:smallCaps w:val="false"/>
          <w:color w:val="000000"/>
          <w:spacing w:val="0"/>
          <w:kern w:val="0"/>
          <w:sz w:val="20"/>
          <w:szCs w:val="20"/>
          <w:shd w:fill="FFFFFF" w:val="clear"/>
          <w:lang w:val="pt-BR" w:eastAsia="en-US" w:bidi="ar-SA"/>
        </w:rPr>
        <w:t>variância é uma medida de dispersão que mostra o quão distante cada valor desse conjunto está do valor central. Indicando até que ponto os indivíduos de um grupo estão espalhados.</w:t>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54000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2.4:</w:t>
      </w:r>
      <w:r>
        <w:rPr>
          <w:rFonts w:eastAsia="Times" w:cs="Times New Roman"/>
          <w:b w:val="false"/>
          <w:bCs w:val="false"/>
          <w:i w:val="false"/>
          <w:iCs w:val="false"/>
          <w:color w:val="C9211E" w:themeShade="bf"/>
          <w:kern w:val="0"/>
          <w:sz w:val="16"/>
          <w:szCs w:val="20"/>
          <w:lang w:val="pt-BR" w:eastAsia="pt-BR" w:bidi="ar-SA"/>
        </w:rPr>
        <w:t xml:space="preserve"> Variância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2.4]</w:t>
      </w:r>
    </w:p>
    <w:p>
      <w:pPr>
        <w:pStyle w:val="Normal"/>
        <w:numPr>
          <w:ilvl w:val="0"/>
          <w:numId w:val="0"/>
        </w:numPr>
        <w:ind w:left="0" w:hanging="0"/>
        <w:jc w:val="left"/>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No próximo gráfico, da figura 2.5, é apresentado os resultados do maior valor de cada característica, com o objetivo de poder comparar com o menor valor de cada característica, sendo este valor apresentado na figura 2.6.</w:t>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540004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400040" cy="5400040"/>
                    </a:xfrm>
                    <a:prstGeom prst="rect">
                      <a:avLst/>
                    </a:prstGeom>
                  </pic:spPr>
                </pic:pic>
              </a:graphicData>
            </a:graphic>
          </wp:anchor>
        </w:drawing>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ascii="Cambria" w:hAnsi="Cambria"/>
          <w:b/>
          <w:bCs/>
          <w:i w:val="false"/>
          <w:iCs w:val="false"/>
          <w:color w:val="C9211E" w:themeShade="bf"/>
          <w:kern w:val="0"/>
          <w:sz w:val="16"/>
          <w:szCs w:val="20"/>
          <w:shd w:fill="FFFFFF" w:val="clear"/>
          <w:lang w:val="pt-BR" w:eastAsia="pt-BR" w:bidi="ar-SA"/>
        </w:rPr>
        <w:t>Figura 2.5:</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Maior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2.5]</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ab/>
      </w: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O gráfico a seguir apresenta os menores valores das características, visando realizar a comparação com os maior valor.</w:t>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540004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5400040" cy="540004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2.6:</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Maior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2.6]</w:t>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rFonts w:ascii="Liberation Serif" w:hAnsi="Liberation Serif"/>
          <w:sz w:val="20"/>
          <w:szCs w:val="20"/>
        </w:rPr>
      </w:pP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 xml:space="preserve">Nesta seção são apresentados os resultados da dispersão de cada característica em relação à qualidade do vinho, com o objetivo de verificar quais características influenciam mais na qualidade dos dados. </w:t>
      </w:r>
    </w:p>
    <w:p>
      <w:pPr>
        <w:pStyle w:val="Normal"/>
        <w:jc w:val="both"/>
        <w:rPr>
          <w:rFonts w:ascii="Liberation Serif" w:hAnsi="Liberation Serif"/>
          <w:sz w:val="20"/>
          <w:szCs w:val="20"/>
        </w:rPr>
      </w:pPr>
      <w:r>
        <w:rPr>
          <w:rFonts w:eastAsia="Times" w:cs="Times New Roman" w:ascii="Liberation Serif" w:hAnsi="Liberation Serif"/>
          <w:b w:val="false"/>
          <w:bCs w:val="false"/>
          <w:i w:val="false"/>
          <w:iCs w:val="false"/>
          <w:color w:val="C9211E" w:themeShade="bf"/>
          <w:sz w:val="20"/>
          <w:szCs w:val="20"/>
          <w:lang w:val="pt-BR" w:eastAsia="pt-BR"/>
        </w:rPr>
        <w:tab/>
      </w:r>
      <w:r>
        <w:rPr>
          <w:rFonts w:eastAsia="" w:cs="" w:ascii="Liberation Serif" w:hAnsi="Liberation Serif" w:cstheme="majorBidi" w:eastAsiaTheme="majorEastAsia"/>
          <w:b w:val="false"/>
          <w:bCs w:val="false"/>
          <w:i w:val="false"/>
          <w:iCs w:val="false"/>
          <w:color w:val="000000"/>
          <w:kern w:val="0"/>
          <w:sz w:val="20"/>
          <w:szCs w:val="20"/>
          <w:shd w:fill="FFFFFF" w:val="clear"/>
          <w:lang w:val="pt-BR" w:eastAsia="en-US" w:bidi="ar-SA"/>
        </w:rPr>
        <w:t>A correlação pode ser visualizada no arquivo “DCWine/DadosGerados/CorrelacaoRedWine.csv”. A corrlação busca verificar a correlação entre todas as caracteristicas.</w:t>
      </w:r>
    </w:p>
    <w:p>
      <w:pPr>
        <w:pStyle w:val="Ttulo5"/>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ascii="Calibri" w:hAnsi="Calibri" w:cstheme="majorBidi" w:eastAsiaTheme="majorEastAsia"/>
          <w:b/>
          <w:bCs/>
          <w:i/>
          <w:iCs/>
          <w:color w:val="365F91" w:themeColor="accent1" w:themeShade="bf"/>
          <w:sz w:val="28"/>
          <w:szCs w:val="26"/>
          <w:lang w:val="pt-BR" w:eastAsia="pt-BR"/>
        </w:rPr>
        <w:t>Correlação dos Dados</w:t>
      </w:r>
    </w:p>
    <w:p>
      <w:pPr>
        <w:pStyle w:val="Normal"/>
        <w:jc w:val="both"/>
        <w:rPr>
          <w:rFonts w:ascii="Liberation Serif" w:hAnsi="Liberation Serif" w:eastAsia="" w:cs="" w:cstheme="majorBidi" w:eastAsiaTheme="majorEastAsia"/>
          <w:b w:val="false"/>
          <w:b w:val="false"/>
          <w:bCs w:val="false"/>
          <w:i w:val="false"/>
          <w:i w:val="false"/>
          <w:iCs w:val="false"/>
          <w:color w:val="000000"/>
          <w:kern w:val="0"/>
          <w:sz w:val="20"/>
          <w:szCs w:val="20"/>
          <w:shd w:fill="FFFFFF" w:val="clear"/>
          <w:lang w:val="pt-BR" w:eastAsia="en-US" w:bidi="ar-SA"/>
        </w:rPr>
      </w:pP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 xml:space="preserve">A tabela 2.2 apresenta as correlações entre todas as características, sendo </w:t>
      </w: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commentReference w:id="0"/>
      </w:r>
      <w:r>
        <w:rPr>
          <w:rFonts w:eastAsia="" w:cs="" w:cstheme="majorBidi" w:eastAsiaTheme="majorEastAsia" w:ascii="Liberation Serif" w:hAnsi="Liberation Serif"/>
          <w:b w:val="false"/>
          <w:bCs w:val="false"/>
          <w:i w:val="false"/>
          <w:iCs w:val="false"/>
          <w:color w:val="000000"/>
          <w:kern w:val="0"/>
          <w:sz w:val="20"/>
          <w:szCs w:val="20"/>
          <w:shd w:fill="FFFFFF" w:val="clear"/>
          <w:lang w:val="pt-BR" w:eastAsia="en-US" w:bidi="ar-SA"/>
        </w:rPr>
        <w:t xml:space="preserve">estes dados os mesmos do arquivo citado na seção 2.1.1.2. </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r>
    </w:p>
    <w:tbl>
      <w:tblPr>
        <w:tblW w:w="8504" w:type="dxa"/>
        <w:jc w:val="left"/>
        <w:tblInd w:w="0" w:type="dxa"/>
        <w:tblLayout w:type="fixed"/>
        <w:tblCellMar>
          <w:top w:w="0" w:type="dxa"/>
          <w:left w:w="0" w:type="dxa"/>
          <w:bottom w:w="0" w:type="dxa"/>
          <w:right w:w="0" w:type="dxa"/>
        </w:tblCellMar>
      </w:tblPr>
      <w:tblGrid>
        <w:gridCol w:w="961"/>
        <w:gridCol w:w="852"/>
        <w:gridCol w:w="849"/>
        <w:gridCol w:w="800"/>
        <w:gridCol w:w="926"/>
        <w:gridCol w:w="550"/>
        <w:gridCol w:w="674"/>
        <w:gridCol w:w="562"/>
        <w:gridCol w:w="514"/>
        <w:gridCol w:w="338"/>
        <w:gridCol w:w="461"/>
        <w:gridCol w:w="363"/>
        <w:gridCol w:w="653"/>
      </w:tblGrid>
      <w:tr>
        <w:trPr/>
        <w:tc>
          <w:tcPr>
            <w:tcW w:w="961"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852"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Acidez fixa</w:t>
            </w:r>
          </w:p>
        </w:tc>
        <w:tc>
          <w:tcPr>
            <w:tcW w:w="849"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Acidez volátil</w:t>
            </w:r>
          </w:p>
        </w:tc>
        <w:tc>
          <w:tcPr>
            <w:tcW w:w="800"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Ácido Cítrico</w:t>
            </w:r>
          </w:p>
        </w:tc>
        <w:tc>
          <w:tcPr>
            <w:tcW w:w="926"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Açúcar residual</w:t>
            </w:r>
          </w:p>
        </w:tc>
        <w:tc>
          <w:tcPr>
            <w:tcW w:w="550"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Cloretos</w:t>
            </w:r>
          </w:p>
        </w:tc>
        <w:tc>
          <w:tcPr>
            <w:tcW w:w="674" w:type="dxa"/>
            <w:tcBorders>
              <w:bottom w:val="single" w:sz="6" w:space="0" w:color="00599D"/>
            </w:tcBorders>
            <w:shd w:fill="00599D" w:val="clear"/>
          </w:tcPr>
          <w:p>
            <w:pPr>
              <w:pStyle w:val="Contedodatabela"/>
              <w:widowControl w:val="false"/>
              <w:jc w:val="left"/>
              <w:rPr>
                <w:rFonts w:ascii="Liberation Sans" w:hAnsi="Liberation Sans" w:eastAsia="Calibri" w:cs="" w:cstheme="minorBidi" w:eastAsiaTheme="minorHAnsi"/>
                <w:b/>
                <w:b/>
                <w:bCs/>
                <w:i w:val="false"/>
                <w:i w:val="false"/>
                <w:iCs w:val="false"/>
                <w:strike w:val="false"/>
                <w:dstrike w:val="false"/>
                <w:outline w:val="false"/>
                <w:shadow w:val="false"/>
                <w:color w:val="FFFFFF"/>
                <w:kern w:val="0"/>
                <w:sz w:val="18"/>
                <w:szCs w:val="18"/>
                <w:u w:val="none"/>
                <w:lang w:val="pt-BR" w:eastAsia="en-US" w:bidi="ar-SA"/>
              </w:rPr>
            </w:pPr>
            <w:r>
              <w:rPr>
                <w:rFonts w:eastAsia="Calibri" w:cs="" w:ascii="Liberation Sans" w:hAnsi="Liberation Sans" w:cstheme="minorBidi" w:eastAsiaTheme="minorHAnsi"/>
                <w:b/>
                <w:bCs/>
                <w:i w:val="false"/>
                <w:iCs w:val="false"/>
                <w:strike w:val="false"/>
                <w:dstrike w:val="false"/>
                <w:outline w:val="false"/>
                <w:shadow w:val="false"/>
                <w:color w:val="FFFFFF"/>
                <w:kern w:val="0"/>
                <w:sz w:val="18"/>
                <w:szCs w:val="18"/>
                <w:u w:val="none"/>
                <w:lang w:val="pt-BR" w:eastAsia="en-US" w:bidi="ar-SA"/>
              </w:rPr>
              <w:t>D.E.L</w:t>
            </w:r>
          </w:p>
        </w:tc>
        <w:tc>
          <w:tcPr>
            <w:tcW w:w="562"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D.E.T</w:t>
            </w:r>
          </w:p>
        </w:tc>
        <w:tc>
          <w:tcPr>
            <w:tcW w:w="514"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Densidade</w:t>
            </w:r>
          </w:p>
        </w:tc>
        <w:tc>
          <w:tcPr>
            <w:tcW w:w="338"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PH</w:t>
            </w:r>
          </w:p>
        </w:tc>
        <w:tc>
          <w:tcPr>
            <w:tcW w:w="461"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Sulfato</w:t>
            </w:r>
          </w:p>
        </w:tc>
        <w:tc>
          <w:tcPr>
            <w:tcW w:w="363"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Álcool</w:t>
            </w:r>
          </w:p>
        </w:tc>
        <w:tc>
          <w:tcPr>
            <w:tcW w:w="653"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Qualidade</w:t>
            </w:r>
          </w:p>
        </w:tc>
      </w:tr>
      <w:tr>
        <w:trPr/>
        <w:tc>
          <w:tcPr>
            <w:tcW w:w="961" w:type="dxa"/>
            <w:tcBorders>
              <w:left w:val="single" w:sz="6" w:space="0" w:color="00599D"/>
            </w:tcBorders>
          </w:tcPr>
          <w:p>
            <w:pPr>
              <w:pStyle w:val="Contedodatabela"/>
              <w:widowControl w:val="false"/>
              <w:rPr>
                <w:sz w:val="18"/>
                <w:szCs w:val="18"/>
              </w:rPr>
            </w:pPr>
            <w:r>
              <w:rPr>
                <w:sz w:val="18"/>
                <w:szCs w:val="18"/>
              </w:rPr>
              <w:t>Acidez fixa</w:t>
            </w:r>
          </w:p>
        </w:tc>
        <w:tc>
          <w:tcPr>
            <w:tcW w:w="85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849"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-0,256</w:t>
            </w:r>
          </w:p>
        </w:tc>
        <w:tc>
          <w:tcPr>
            <w:tcW w:w="80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0,672</w:t>
            </w:r>
          </w:p>
        </w:tc>
        <w:tc>
          <w:tcPr>
            <w:tcW w:w="926"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0,115</w:t>
            </w:r>
          </w:p>
        </w:tc>
        <w:tc>
          <w:tcPr>
            <w:tcW w:w="55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0,094</w:t>
            </w:r>
          </w:p>
        </w:tc>
        <w:tc>
          <w:tcPr>
            <w:tcW w:w="67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-0,154</w:t>
            </w:r>
          </w:p>
        </w:tc>
        <w:tc>
          <w:tcPr>
            <w:tcW w:w="56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-0,113</w:t>
            </w:r>
          </w:p>
        </w:tc>
        <w:tc>
          <w:tcPr>
            <w:tcW w:w="51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0,668</w:t>
            </w:r>
          </w:p>
        </w:tc>
        <w:tc>
          <w:tcPr>
            <w:tcW w:w="338"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0,683</w:t>
            </w:r>
          </w:p>
        </w:tc>
        <w:tc>
          <w:tcPr>
            <w:tcW w:w="461"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0,183</w:t>
            </w:r>
          </w:p>
        </w:tc>
        <w:tc>
          <w:tcPr>
            <w:tcW w:w="363"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-0,062</w:t>
            </w:r>
          </w:p>
        </w:tc>
        <w:tc>
          <w:tcPr>
            <w:tcW w:w="653" w:type="dxa"/>
            <w:tcBorders>
              <w:right w:val="single" w:sz="6" w:space="0" w:color="00599D"/>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0,124</w:t>
            </w:r>
          </w:p>
        </w:tc>
      </w:tr>
      <w:tr>
        <w:trPr/>
        <w:tc>
          <w:tcPr>
            <w:tcW w:w="961" w:type="dxa"/>
            <w:tcBorders>
              <w:left w:val="single" w:sz="6" w:space="0" w:color="00599D"/>
            </w:tcBorders>
            <w:shd w:fill="DDDDDD" w:val="clear"/>
          </w:tcPr>
          <w:p>
            <w:pPr>
              <w:pStyle w:val="Contedodatabela"/>
              <w:widowControl w:val="false"/>
              <w:rPr>
                <w:sz w:val="18"/>
                <w:szCs w:val="18"/>
              </w:rPr>
            </w:pPr>
            <w:r>
              <w:rPr>
                <w:sz w:val="18"/>
                <w:szCs w:val="18"/>
              </w:rPr>
              <w:t>Acidez volátil</w:t>
            </w:r>
          </w:p>
        </w:tc>
        <w:tc>
          <w:tcPr>
            <w:tcW w:w="85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-0,256</w:t>
            </w:r>
          </w:p>
        </w:tc>
        <w:tc>
          <w:tcPr>
            <w:tcW w:w="849"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80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0,552</w:t>
            </w:r>
          </w:p>
        </w:tc>
        <w:tc>
          <w:tcPr>
            <w:tcW w:w="926"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0,002</w:t>
            </w:r>
          </w:p>
        </w:tc>
        <w:tc>
          <w:tcPr>
            <w:tcW w:w="55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0,061</w:t>
            </w:r>
          </w:p>
        </w:tc>
        <w:tc>
          <w:tcPr>
            <w:tcW w:w="67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-0,011</w:t>
            </w:r>
          </w:p>
        </w:tc>
        <w:tc>
          <w:tcPr>
            <w:tcW w:w="56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0,076</w:t>
            </w:r>
          </w:p>
        </w:tc>
        <w:tc>
          <w:tcPr>
            <w:tcW w:w="51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0,022</w:t>
            </w:r>
          </w:p>
        </w:tc>
        <w:tc>
          <w:tcPr>
            <w:tcW w:w="338"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0,235</w:t>
            </w:r>
          </w:p>
        </w:tc>
        <w:tc>
          <w:tcPr>
            <w:tcW w:w="461"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-0,261</w:t>
            </w:r>
          </w:p>
        </w:tc>
        <w:tc>
          <w:tcPr>
            <w:tcW w:w="363"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-0,202</w:t>
            </w:r>
          </w:p>
        </w:tc>
        <w:tc>
          <w:tcPr>
            <w:tcW w:w="653" w:type="dxa"/>
            <w:tcBorders>
              <w:right w:val="single" w:sz="6" w:space="0" w:color="00599D"/>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-0,391</w:t>
            </w:r>
          </w:p>
        </w:tc>
      </w:tr>
      <w:tr>
        <w:trPr/>
        <w:tc>
          <w:tcPr>
            <w:tcW w:w="961" w:type="dxa"/>
            <w:tcBorders>
              <w:left w:val="single" w:sz="6" w:space="0" w:color="00599D"/>
            </w:tcBorders>
          </w:tcPr>
          <w:p>
            <w:pPr>
              <w:pStyle w:val="Contedodatabela"/>
              <w:widowControl w:val="false"/>
              <w:rPr>
                <w:sz w:val="18"/>
                <w:szCs w:val="18"/>
              </w:rPr>
            </w:pPr>
            <w:r>
              <w:rPr>
                <w:sz w:val="18"/>
                <w:szCs w:val="18"/>
              </w:rPr>
              <w:t>Ácido Cítrico</w:t>
            </w:r>
          </w:p>
        </w:tc>
        <w:tc>
          <w:tcPr>
            <w:tcW w:w="852" w:type="dxa"/>
            <w:tcBorders/>
          </w:tcPr>
          <w:p>
            <w:pPr>
              <w:pStyle w:val="Contedodatabela"/>
              <w:widowControl w:val="false"/>
              <w:jc w:val="right"/>
              <w:rPr>
                <w:rFonts w:ascii="Calibri" w:hAnsi="Calibri" w:eastAsia="Calibri" w:cs="" w:asciiTheme="minorHAnsi" w:cstheme="minorBidi" w:eastAsiaTheme="minorHAnsi" w:hAnsiTheme="minorHAnsi"/>
                <w:color w:val="FF0000"/>
                <w:kern w:val="0"/>
                <w:sz w:val="18"/>
                <w:szCs w:val="18"/>
                <w:shd w:fill="FFFF00" w:val="clear"/>
                <w:lang w:val="pt-BR" w:eastAsia="en-US" w:bidi="ar-SA"/>
              </w:rPr>
            </w:pPr>
            <w:r>
              <w:rPr>
                <w:rFonts w:eastAsia="Calibri" w:cs="" w:cstheme="minorBidi" w:eastAsiaTheme="minorHAnsi"/>
                <w:color w:val="FF0000"/>
                <w:kern w:val="0"/>
                <w:sz w:val="18"/>
                <w:szCs w:val="18"/>
                <w:shd w:fill="FFFF00" w:val="clear"/>
                <w:lang w:val="pt-BR" w:eastAsia="en-US" w:bidi="ar-SA"/>
              </w:rPr>
              <w:t>0,672</w:t>
            </w:r>
          </w:p>
        </w:tc>
        <w:tc>
          <w:tcPr>
            <w:tcW w:w="849"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0,552</w:t>
            </w:r>
          </w:p>
        </w:tc>
        <w:tc>
          <w:tcPr>
            <w:tcW w:w="80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926"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0,144</w:t>
            </w:r>
          </w:p>
        </w:tc>
        <w:tc>
          <w:tcPr>
            <w:tcW w:w="55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0,204</w:t>
            </w:r>
          </w:p>
        </w:tc>
        <w:tc>
          <w:tcPr>
            <w:tcW w:w="67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-0,061</w:t>
            </w:r>
          </w:p>
        </w:tc>
        <w:tc>
          <w:tcPr>
            <w:tcW w:w="56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0,036</w:t>
            </w:r>
          </w:p>
        </w:tc>
        <w:tc>
          <w:tcPr>
            <w:tcW w:w="51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0,365</w:t>
            </w:r>
          </w:p>
        </w:tc>
        <w:tc>
          <w:tcPr>
            <w:tcW w:w="338"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0,542</w:t>
            </w:r>
          </w:p>
        </w:tc>
        <w:tc>
          <w:tcPr>
            <w:tcW w:w="461"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0,313</w:t>
            </w:r>
          </w:p>
        </w:tc>
        <w:tc>
          <w:tcPr>
            <w:tcW w:w="363"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0,110</w:t>
            </w:r>
          </w:p>
        </w:tc>
        <w:tc>
          <w:tcPr>
            <w:tcW w:w="653" w:type="dxa"/>
            <w:tcBorders>
              <w:right w:val="single" w:sz="6" w:space="0" w:color="00599D"/>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0,226</w:t>
            </w:r>
          </w:p>
        </w:tc>
      </w:tr>
      <w:tr>
        <w:trPr/>
        <w:tc>
          <w:tcPr>
            <w:tcW w:w="961" w:type="dxa"/>
            <w:tcBorders>
              <w:left w:val="single" w:sz="6" w:space="0" w:color="00599D"/>
            </w:tcBorders>
            <w:shd w:fill="DDDDDD" w:val="clear"/>
          </w:tcPr>
          <w:p>
            <w:pPr>
              <w:pStyle w:val="Contedodatabela"/>
              <w:widowControl w:val="false"/>
              <w:rPr>
                <w:sz w:val="18"/>
                <w:szCs w:val="18"/>
              </w:rPr>
            </w:pPr>
            <w:r>
              <w:rPr>
                <w:sz w:val="18"/>
                <w:szCs w:val="18"/>
              </w:rPr>
              <w:t>Açúcar residual</w:t>
            </w:r>
          </w:p>
        </w:tc>
        <w:tc>
          <w:tcPr>
            <w:tcW w:w="85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0,115</w:t>
            </w:r>
          </w:p>
        </w:tc>
        <w:tc>
          <w:tcPr>
            <w:tcW w:w="849"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0,002</w:t>
            </w:r>
          </w:p>
        </w:tc>
        <w:tc>
          <w:tcPr>
            <w:tcW w:w="80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0,144</w:t>
            </w:r>
          </w:p>
        </w:tc>
        <w:tc>
          <w:tcPr>
            <w:tcW w:w="926"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55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0,056</w:t>
            </w:r>
          </w:p>
        </w:tc>
        <w:tc>
          <w:tcPr>
            <w:tcW w:w="67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0,187</w:t>
            </w:r>
          </w:p>
        </w:tc>
        <w:tc>
          <w:tcPr>
            <w:tcW w:w="56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0,203</w:t>
            </w:r>
          </w:p>
        </w:tc>
        <w:tc>
          <w:tcPr>
            <w:tcW w:w="51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0,355</w:t>
            </w:r>
          </w:p>
        </w:tc>
        <w:tc>
          <w:tcPr>
            <w:tcW w:w="338"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-0,086</w:t>
            </w:r>
          </w:p>
        </w:tc>
        <w:tc>
          <w:tcPr>
            <w:tcW w:w="461"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0,006</w:t>
            </w:r>
          </w:p>
        </w:tc>
        <w:tc>
          <w:tcPr>
            <w:tcW w:w="363"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0,042</w:t>
            </w:r>
          </w:p>
        </w:tc>
        <w:tc>
          <w:tcPr>
            <w:tcW w:w="653" w:type="dxa"/>
            <w:tcBorders>
              <w:right w:val="single" w:sz="6" w:space="0" w:color="00599D"/>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0,014</w:t>
            </w:r>
          </w:p>
        </w:tc>
      </w:tr>
      <w:tr>
        <w:trPr/>
        <w:tc>
          <w:tcPr>
            <w:tcW w:w="961" w:type="dxa"/>
            <w:tcBorders>
              <w:left w:val="single" w:sz="6" w:space="0" w:color="00599D"/>
            </w:tcBorders>
          </w:tcPr>
          <w:p>
            <w:pPr>
              <w:pStyle w:val="Contedodatabela"/>
              <w:widowControl w:val="false"/>
              <w:rPr>
                <w:sz w:val="18"/>
                <w:szCs w:val="18"/>
              </w:rPr>
            </w:pPr>
            <w:r>
              <w:rPr>
                <w:sz w:val="18"/>
                <w:szCs w:val="18"/>
              </w:rPr>
              <w:t>Cloretos</w:t>
            </w:r>
          </w:p>
        </w:tc>
        <w:tc>
          <w:tcPr>
            <w:tcW w:w="85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0,094</w:t>
            </w:r>
          </w:p>
        </w:tc>
        <w:tc>
          <w:tcPr>
            <w:tcW w:w="849"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0,061</w:t>
            </w:r>
          </w:p>
        </w:tc>
        <w:tc>
          <w:tcPr>
            <w:tcW w:w="80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0,204</w:t>
            </w:r>
          </w:p>
        </w:tc>
        <w:tc>
          <w:tcPr>
            <w:tcW w:w="926"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0,056</w:t>
            </w:r>
          </w:p>
        </w:tc>
        <w:tc>
          <w:tcPr>
            <w:tcW w:w="55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67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0,006</w:t>
            </w:r>
          </w:p>
        </w:tc>
        <w:tc>
          <w:tcPr>
            <w:tcW w:w="56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0,047</w:t>
            </w:r>
          </w:p>
        </w:tc>
        <w:tc>
          <w:tcPr>
            <w:tcW w:w="51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0,201</w:t>
            </w:r>
          </w:p>
        </w:tc>
        <w:tc>
          <w:tcPr>
            <w:tcW w:w="338"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-0,265</w:t>
            </w:r>
          </w:p>
        </w:tc>
        <w:tc>
          <w:tcPr>
            <w:tcW w:w="461"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0,371</w:t>
            </w:r>
          </w:p>
        </w:tc>
        <w:tc>
          <w:tcPr>
            <w:tcW w:w="363"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-0,221</w:t>
            </w:r>
          </w:p>
        </w:tc>
        <w:tc>
          <w:tcPr>
            <w:tcW w:w="653" w:type="dxa"/>
            <w:tcBorders>
              <w:right w:val="single" w:sz="6" w:space="0" w:color="00599D"/>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-0,129</w:t>
            </w:r>
          </w:p>
        </w:tc>
      </w:tr>
      <w:tr>
        <w:trPr/>
        <w:tc>
          <w:tcPr>
            <w:tcW w:w="961" w:type="dxa"/>
            <w:tcBorders>
              <w:left w:val="single" w:sz="6" w:space="0" w:color="00599D"/>
            </w:tcBorders>
            <w:shd w:fill="DDDDDD" w:val="clear"/>
          </w:tcPr>
          <w:p>
            <w:pPr>
              <w:pStyle w:val="Contedodatabela"/>
              <w:widowControl w:val="false"/>
              <w:rPr>
                <w:sz w:val="18"/>
                <w:szCs w:val="18"/>
              </w:rPr>
            </w:pPr>
            <w:r>
              <w:rPr>
                <w:sz w:val="18"/>
                <w:szCs w:val="18"/>
              </w:rPr>
              <w:t>D.E.L</w:t>
            </w:r>
          </w:p>
        </w:tc>
        <w:tc>
          <w:tcPr>
            <w:tcW w:w="85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-0,154</w:t>
            </w:r>
          </w:p>
        </w:tc>
        <w:tc>
          <w:tcPr>
            <w:tcW w:w="849"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-0,011</w:t>
            </w:r>
          </w:p>
        </w:tc>
        <w:tc>
          <w:tcPr>
            <w:tcW w:w="80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-0,061</w:t>
            </w:r>
          </w:p>
        </w:tc>
        <w:tc>
          <w:tcPr>
            <w:tcW w:w="926"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0,187</w:t>
            </w:r>
          </w:p>
        </w:tc>
        <w:tc>
          <w:tcPr>
            <w:tcW w:w="55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0,006</w:t>
            </w:r>
          </w:p>
        </w:tc>
        <w:tc>
          <w:tcPr>
            <w:tcW w:w="67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56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0,668</w:t>
            </w:r>
          </w:p>
        </w:tc>
        <w:tc>
          <w:tcPr>
            <w:tcW w:w="51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-0,022</w:t>
            </w:r>
          </w:p>
        </w:tc>
        <w:tc>
          <w:tcPr>
            <w:tcW w:w="338"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0,070</w:t>
            </w:r>
          </w:p>
        </w:tc>
        <w:tc>
          <w:tcPr>
            <w:tcW w:w="461"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0,052</w:t>
            </w:r>
          </w:p>
        </w:tc>
        <w:tc>
          <w:tcPr>
            <w:tcW w:w="363"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-0,069</w:t>
            </w:r>
          </w:p>
        </w:tc>
        <w:tc>
          <w:tcPr>
            <w:tcW w:w="653" w:type="dxa"/>
            <w:tcBorders>
              <w:right w:val="single" w:sz="6" w:space="0" w:color="00599D"/>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-0,051</w:t>
            </w:r>
          </w:p>
        </w:tc>
      </w:tr>
      <w:tr>
        <w:trPr/>
        <w:tc>
          <w:tcPr>
            <w:tcW w:w="961" w:type="dxa"/>
            <w:tcBorders>
              <w:left w:val="single" w:sz="6" w:space="0" w:color="00599D"/>
            </w:tcBorders>
          </w:tcPr>
          <w:p>
            <w:pPr>
              <w:pStyle w:val="Contedodatabela"/>
              <w:widowControl w:val="false"/>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D.E.T</w:t>
            </w:r>
          </w:p>
        </w:tc>
        <w:tc>
          <w:tcPr>
            <w:tcW w:w="85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-0,113</w:t>
            </w:r>
          </w:p>
        </w:tc>
        <w:tc>
          <w:tcPr>
            <w:tcW w:w="849"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0,076</w:t>
            </w:r>
          </w:p>
        </w:tc>
        <w:tc>
          <w:tcPr>
            <w:tcW w:w="80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0,036</w:t>
            </w:r>
          </w:p>
        </w:tc>
        <w:tc>
          <w:tcPr>
            <w:tcW w:w="926"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0,203</w:t>
            </w:r>
          </w:p>
        </w:tc>
        <w:tc>
          <w:tcPr>
            <w:tcW w:w="55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0,047</w:t>
            </w:r>
          </w:p>
        </w:tc>
        <w:tc>
          <w:tcPr>
            <w:tcW w:w="67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0,668</w:t>
            </w:r>
          </w:p>
        </w:tc>
        <w:tc>
          <w:tcPr>
            <w:tcW w:w="56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51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0,071</w:t>
            </w:r>
          </w:p>
        </w:tc>
        <w:tc>
          <w:tcPr>
            <w:tcW w:w="338"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-0,066</w:t>
            </w:r>
          </w:p>
        </w:tc>
        <w:tc>
          <w:tcPr>
            <w:tcW w:w="461"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0,043</w:t>
            </w:r>
          </w:p>
        </w:tc>
        <w:tc>
          <w:tcPr>
            <w:tcW w:w="363"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-0,206</w:t>
            </w:r>
          </w:p>
        </w:tc>
        <w:tc>
          <w:tcPr>
            <w:tcW w:w="653" w:type="dxa"/>
            <w:tcBorders>
              <w:right w:val="single" w:sz="6" w:space="0" w:color="00599D"/>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-0,185</w:t>
            </w:r>
          </w:p>
        </w:tc>
      </w:tr>
      <w:tr>
        <w:trPr/>
        <w:tc>
          <w:tcPr>
            <w:tcW w:w="961" w:type="dxa"/>
            <w:tcBorders>
              <w:left w:val="single" w:sz="6" w:space="0" w:color="00599D"/>
            </w:tcBorders>
            <w:shd w:fill="DDDDDD" w:val="clear"/>
          </w:tcPr>
          <w:p>
            <w:pPr>
              <w:pStyle w:val="Contedodatabela"/>
              <w:widowControl w:val="false"/>
              <w:rPr>
                <w:sz w:val="18"/>
                <w:szCs w:val="18"/>
              </w:rPr>
            </w:pPr>
            <w:r>
              <w:rPr>
                <w:sz w:val="18"/>
                <w:szCs w:val="18"/>
              </w:rPr>
              <w:t>Densidade</w:t>
            </w:r>
          </w:p>
        </w:tc>
        <w:tc>
          <w:tcPr>
            <w:tcW w:w="85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0,668</w:t>
            </w:r>
          </w:p>
        </w:tc>
        <w:tc>
          <w:tcPr>
            <w:tcW w:w="849"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0,022</w:t>
            </w:r>
          </w:p>
        </w:tc>
        <w:tc>
          <w:tcPr>
            <w:tcW w:w="80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0,365</w:t>
            </w:r>
          </w:p>
        </w:tc>
        <w:tc>
          <w:tcPr>
            <w:tcW w:w="926"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0,355</w:t>
            </w:r>
          </w:p>
        </w:tc>
        <w:tc>
          <w:tcPr>
            <w:tcW w:w="55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0,201</w:t>
            </w:r>
          </w:p>
        </w:tc>
        <w:tc>
          <w:tcPr>
            <w:tcW w:w="67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-0,022</w:t>
            </w:r>
          </w:p>
        </w:tc>
        <w:tc>
          <w:tcPr>
            <w:tcW w:w="56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0,071</w:t>
            </w:r>
          </w:p>
        </w:tc>
        <w:tc>
          <w:tcPr>
            <w:tcW w:w="51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338"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-0,342</w:t>
            </w:r>
          </w:p>
        </w:tc>
        <w:tc>
          <w:tcPr>
            <w:tcW w:w="461"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0,149</w:t>
            </w:r>
          </w:p>
        </w:tc>
        <w:tc>
          <w:tcPr>
            <w:tcW w:w="363"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0,496</w:t>
            </w:r>
          </w:p>
        </w:tc>
        <w:tc>
          <w:tcPr>
            <w:tcW w:w="653" w:type="dxa"/>
            <w:tcBorders>
              <w:right w:val="single" w:sz="6" w:space="0" w:color="00599D"/>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-0,175</w:t>
            </w:r>
          </w:p>
        </w:tc>
      </w:tr>
      <w:tr>
        <w:trPr/>
        <w:tc>
          <w:tcPr>
            <w:tcW w:w="961" w:type="dxa"/>
            <w:tcBorders>
              <w:left w:val="single" w:sz="6" w:space="0" w:color="00599D"/>
            </w:tcBorders>
          </w:tcPr>
          <w:p>
            <w:pPr>
              <w:pStyle w:val="Contedodatabela"/>
              <w:widowControl w:val="false"/>
              <w:rPr>
                <w:sz w:val="18"/>
                <w:szCs w:val="18"/>
              </w:rPr>
            </w:pPr>
            <w:r>
              <w:rPr>
                <w:sz w:val="18"/>
                <w:szCs w:val="18"/>
              </w:rPr>
              <w:t>PH</w:t>
            </w:r>
          </w:p>
        </w:tc>
        <w:tc>
          <w:tcPr>
            <w:tcW w:w="85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-0,683</w:t>
            </w:r>
          </w:p>
        </w:tc>
        <w:tc>
          <w:tcPr>
            <w:tcW w:w="849"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0,235</w:t>
            </w:r>
          </w:p>
        </w:tc>
        <w:tc>
          <w:tcPr>
            <w:tcW w:w="80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0,542</w:t>
            </w:r>
          </w:p>
        </w:tc>
        <w:tc>
          <w:tcPr>
            <w:tcW w:w="926"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-0,086</w:t>
            </w:r>
          </w:p>
        </w:tc>
        <w:tc>
          <w:tcPr>
            <w:tcW w:w="55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-0,265</w:t>
            </w:r>
          </w:p>
        </w:tc>
        <w:tc>
          <w:tcPr>
            <w:tcW w:w="67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0,070</w:t>
            </w:r>
          </w:p>
        </w:tc>
        <w:tc>
          <w:tcPr>
            <w:tcW w:w="56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-0,066</w:t>
            </w:r>
          </w:p>
        </w:tc>
        <w:tc>
          <w:tcPr>
            <w:tcW w:w="51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-0,342</w:t>
            </w:r>
          </w:p>
        </w:tc>
        <w:tc>
          <w:tcPr>
            <w:tcW w:w="338"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461"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-0,197</w:t>
            </w:r>
          </w:p>
        </w:tc>
        <w:tc>
          <w:tcPr>
            <w:tcW w:w="363"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0,206</w:t>
            </w:r>
          </w:p>
        </w:tc>
        <w:tc>
          <w:tcPr>
            <w:tcW w:w="653" w:type="dxa"/>
            <w:tcBorders>
              <w:right w:val="single" w:sz="6" w:space="0" w:color="00599D"/>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-0,058</w:t>
            </w:r>
          </w:p>
        </w:tc>
      </w:tr>
      <w:tr>
        <w:trPr/>
        <w:tc>
          <w:tcPr>
            <w:tcW w:w="961" w:type="dxa"/>
            <w:tcBorders>
              <w:left w:val="single" w:sz="6" w:space="0" w:color="00599D"/>
            </w:tcBorders>
            <w:shd w:fill="DDDDDD" w:val="clear"/>
          </w:tcPr>
          <w:p>
            <w:pPr>
              <w:pStyle w:val="Contedodatabela"/>
              <w:widowControl w:val="false"/>
              <w:rPr>
                <w:sz w:val="18"/>
                <w:szCs w:val="18"/>
              </w:rPr>
            </w:pPr>
            <w:r>
              <w:rPr>
                <w:sz w:val="18"/>
                <w:szCs w:val="18"/>
              </w:rPr>
              <w:t>Sulfato</w:t>
            </w:r>
          </w:p>
        </w:tc>
        <w:tc>
          <w:tcPr>
            <w:tcW w:w="85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0,183</w:t>
            </w:r>
          </w:p>
        </w:tc>
        <w:tc>
          <w:tcPr>
            <w:tcW w:w="849"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-0,261</w:t>
            </w:r>
          </w:p>
        </w:tc>
        <w:tc>
          <w:tcPr>
            <w:tcW w:w="80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0,313</w:t>
            </w:r>
          </w:p>
        </w:tc>
        <w:tc>
          <w:tcPr>
            <w:tcW w:w="926"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0,006</w:t>
            </w:r>
          </w:p>
        </w:tc>
        <w:tc>
          <w:tcPr>
            <w:tcW w:w="550"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0,371</w:t>
            </w:r>
          </w:p>
        </w:tc>
        <w:tc>
          <w:tcPr>
            <w:tcW w:w="67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0,052</w:t>
            </w:r>
          </w:p>
        </w:tc>
        <w:tc>
          <w:tcPr>
            <w:tcW w:w="562"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0,043</w:t>
            </w:r>
          </w:p>
        </w:tc>
        <w:tc>
          <w:tcPr>
            <w:tcW w:w="514"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0,149</w:t>
            </w:r>
          </w:p>
        </w:tc>
        <w:tc>
          <w:tcPr>
            <w:tcW w:w="338"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-0,197</w:t>
            </w:r>
          </w:p>
        </w:tc>
        <w:tc>
          <w:tcPr>
            <w:tcW w:w="461"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363" w:type="dxa"/>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0,094</w:t>
            </w:r>
          </w:p>
        </w:tc>
        <w:tc>
          <w:tcPr>
            <w:tcW w:w="653" w:type="dxa"/>
            <w:tcBorders>
              <w:right w:val="single" w:sz="6" w:space="0" w:color="00599D"/>
            </w:tcBorders>
            <w:shd w:fill="DDDDDD"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0,251</w:t>
            </w:r>
          </w:p>
        </w:tc>
      </w:tr>
      <w:tr>
        <w:trPr/>
        <w:tc>
          <w:tcPr>
            <w:tcW w:w="961" w:type="dxa"/>
            <w:tcBorders>
              <w:left w:val="single" w:sz="6" w:space="0" w:color="00599D"/>
            </w:tcBorders>
          </w:tcPr>
          <w:p>
            <w:pPr>
              <w:pStyle w:val="Contedodatabela"/>
              <w:widowControl w:val="false"/>
              <w:rPr>
                <w:sz w:val="18"/>
                <w:szCs w:val="18"/>
              </w:rPr>
            </w:pPr>
            <w:r>
              <w:rPr>
                <w:sz w:val="18"/>
                <w:szCs w:val="18"/>
              </w:rPr>
              <w:t>Álcool</w:t>
            </w:r>
          </w:p>
        </w:tc>
        <w:tc>
          <w:tcPr>
            <w:tcW w:w="85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-0,062</w:t>
            </w:r>
          </w:p>
        </w:tc>
        <w:tc>
          <w:tcPr>
            <w:tcW w:w="849"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-0,202</w:t>
            </w:r>
          </w:p>
        </w:tc>
        <w:tc>
          <w:tcPr>
            <w:tcW w:w="80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0,110</w:t>
            </w:r>
          </w:p>
        </w:tc>
        <w:tc>
          <w:tcPr>
            <w:tcW w:w="926"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0,042</w:t>
            </w:r>
          </w:p>
        </w:tc>
        <w:tc>
          <w:tcPr>
            <w:tcW w:w="550"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-0,221</w:t>
            </w:r>
          </w:p>
        </w:tc>
        <w:tc>
          <w:tcPr>
            <w:tcW w:w="67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-0,069</w:t>
            </w:r>
          </w:p>
        </w:tc>
        <w:tc>
          <w:tcPr>
            <w:tcW w:w="562"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-0,206</w:t>
            </w:r>
          </w:p>
        </w:tc>
        <w:tc>
          <w:tcPr>
            <w:tcW w:w="514"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w:t>
            </w:r>
            <w:r>
              <w:rPr>
                <w:rFonts w:eastAsia="Calibri" w:cs="" w:cstheme="minorBidi" w:eastAsiaTheme="minorHAnsi"/>
                <w:color w:val="000000"/>
                <w:kern w:val="0"/>
                <w:sz w:val="18"/>
                <w:szCs w:val="18"/>
                <w:shd w:fill="FFFF00" w:val="clear"/>
                <w:lang w:val="pt-BR" w:eastAsia="en-US" w:bidi="ar-SA"/>
              </w:rPr>
              <w:t>0,496</w:t>
            </w:r>
          </w:p>
        </w:tc>
        <w:tc>
          <w:tcPr>
            <w:tcW w:w="338"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0,206</w:t>
            </w:r>
          </w:p>
        </w:tc>
        <w:tc>
          <w:tcPr>
            <w:tcW w:w="461"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0,094</w:t>
            </w:r>
          </w:p>
        </w:tc>
        <w:tc>
          <w:tcPr>
            <w:tcW w:w="363" w:type="dxa"/>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c>
          <w:tcPr>
            <w:tcW w:w="653" w:type="dxa"/>
            <w:tcBorders>
              <w:right w:val="single" w:sz="6" w:space="0" w:color="00599D"/>
            </w:tcBorders>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0,476</w:t>
            </w:r>
          </w:p>
        </w:tc>
      </w:tr>
      <w:tr>
        <w:trPr/>
        <w:tc>
          <w:tcPr>
            <w:tcW w:w="961" w:type="dxa"/>
            <w:tcBorders>
              <w:top w:val="single" w:sz="6" w:space="0" w:color="00599D"/>
              <w:left w:val="single" w:sz="6" w:space="0" w:color="00599D"/>
              <w:bottom w:val="single" w:sz="6" w:space="0" w:color="00599D"/>
            </w:tcBorders>
            <w:shd w:fill="ADC5E7" w:val="clear"/>
          </w:tcPr>
          <w:p>
            <w:pPr>
              <w:pStyle w:val="Contedodatabela"/>
              <w:widowControl w:val="false"/>
              <w:rPr>
                <w:sz w:val="18"/>
                <w:szCs w:val="18"/>
              </w:rPr>
            </w:pPr>
            <w:r>
              <w:rPr>
                <w:sz w:val="18"/>
                <w:szCs w:val="18"/>
              </w:rPr>
              <w:t>Qualidade</w:t>
            </w:r>
          </w:p>
        </w:tc>
        <w:tc>
          <w:tcPr>
            <w:tcW w:w="852"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0,124</w:t>
            </w:r>
          </w:p>
        </w:tc>
        <w:tc>
          <w:tcPr>
            <w:tcW w:w="849"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-0,391</w:t>
            </w:r>
          </w:p>
        </w:tc>
        <w:tc>
          <w:tcPr>
            <w:tcW w:w="800"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0,226</w:t>
            </w:r>
          </w:p>
        </w:tc>
        <w:tc>
          <w:tcPr>
            <w:tcW w:w="926"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0,014</w:t>
            </w:r>
          </w:p>
        </w:tc>
        <w:tc>
          <w:tcPr>
            <w:tcW w:w="550"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-0,129</w:t>
            </w:r>
          </w:p>
        </w:tc>
        <w:tc>
          <w:tcPr>
            <w:tcW w:w="674"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-0,051</w:t>
            </w:r>
          </w:p>
        </w:tc>
        <w:tc>
          <w:tcPr>
            <w:tcW w:w="562"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-0,185</w:t>
            </w:r>
          </w:p>
        </w:tc>
        <w:tc>
          <w:tcPr>
            <w:tcW w:w="514"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-0,175</w:t>
            </w:r>
          </w:p>
        </w:tc>
        <w:tc>
          <w:tcPr>
            <w:tcW w:w="338"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-0,058</w:t>
            </w:r>
          </w:p>
        </w:tc>
        <w:tc>
          <w:tcPr>
            <w:tcW w:w="461"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0,251</w:t>
            </w:r>
          </w:p>
        </w:tc>
        <w:tc>
          <w:tcPr>
            <w:tcW w:w="363" w:type="dxa"/>
            <w:tcBorders>
              <w:top w:val="single" w:sz="6" w:space="0" w:color="00599D"/>
              <w:bottom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shd w:fill="FFFF00" w:val="clear"/>
                <w:lang w:val="pt-BR" w:eastAsia="en-US" w:bidi="ar-SA"/>
              </w:rPr>
            </w:pPr>
            <w:r>
              <w:rPr>
                <w:rFonts w:eastAsia="Calibri" w:cs="" w:cstheme="minorBidi" w:eastAsiaTheme="minorHAnsi"/>
                <w:color w:val="000000"/>
                <w:kern w:val="0"/>
                <w:sz w:val="18"/>
                <w:szCs w:val="18"/>
                <w:shd w:fill="FFFF00" w:val="clear"/>
                <w:lang w:val="pt-BR" w:eastAsia="en-US" w:bidi="ar-SA"/>
              </w:rPr>
              <w:t>0,476</w:t>
            </w:r>
          </w:p>
        </w:tc>
        <w:tc>
          <w:tcPr>
            <w:tcW w:w="653" w:type="dxa"/>
            <w:tcBorders>
              <w:top w:val="single" w:sz="6" w:space="0" w:color="00599D"/>
              <w:bottom w:val="single" w:sz="6" w:space="0" w:color="00599D"/>
              <w:right w:val="single" w:sz="6" w:space="0" w:color="00599D"/>
            </w:tcBorders>
            <w:shd w:fill="ADC5E7" w:val="clear"/>
          </w:tcPr>
          <w:p>
            <w:pPr>
              <w:pStyle w:val="Contedodatabela"/>
              <w:widowControl w:val="false"/>
              <w:jc w:val="right"/>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1,000</w:t>
            </w:r>
          </w:p>
        </w:tc>
      </w:tr>
    </w:tbl>
    <w:p>
      <w:pPr>
        <w:pStyle w:val="Normal"/>
        <w:jc w:val="center"/>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bCs/>
          <w:i w:val="false"/>
          <w:iCs w:val="false"/>
          <w:color w:val="C9211E" w:themeShade="bf"/>
          <w:sz w:val="16"/>
          <w:szCs w:val="20"/>
          <w:lang w:val="pt-BR" w:eastAsia="pt-BR"/>
        </w:rPr>
        <w:t>Tabela 2.2.</w:t>
      </w:r>
      <w:r>
        <w:rPr>
          <w:rFonts w:eastAsia="Times" w:cs="Times New Roman"/>
          <w:b w:val="false"/>
          <w:bCs w:val="false"/>
          <w:i w:val="false"/>
          <w:iCs w:val="false"/>
          <w:color w:val="C9211E" w:themeShade="bf"/>
          <w:sz w:val="16"/>
          <w:szCs w:val="20"/>
          <w:lang w:val="pt-BR" w:eastAsia="pt-BR"/>
        </w:rPr>
        <w:t>: Correlação entre todas as características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b/>
      </w:r>
      <w:r>
        <w:rPr>
          <w:rFonts w:eastAsia="Times" w:cs="Times New Roman"/>
          <w:b w:val="false"/>
          <w:bCs w:val="false"/>
          <w:i w:val="false"/>
          <w:iCs w:val="false"/>
          <w:color w:val="C9211E" w:themeShade="bf"/>
          <w:kern w:val="0"/>
          <w:sz w:val="16"/>
          <w:szCs w:val="20"/>
          <w:lang w:val="pt-BR" w:eastAsia="pt-BR" w:bidi="ar-SA"/>
        </w:rPr>
        <w:t>Para auxiliar a analise será definido um valor de corte para determinar as características que possuem correlação. Para considerar que exis</w:t>
      </w:r>
      <w:r>
        <w:rPr>
          <w:rFonts w:eastAsia="Times" w:cs="Times New Roman"/>
          <w:b w:val="false"/>
          <w:bCs w:val="false"/>
          <w:i w:val="false"/>
          <w:iCs w:val="false"/>
          <w:color w:val="C9211E" w:themeShade="bf"/>
          <w:kern w:val="0"/>
          <w:sz w:val="16"/>
          <w:szCs w:val="20"/>
          <w:lang w:val="pt-BR" w:eastAsia="pt-BR" w:bidi="ar-SA"/>
        </w:rPr>
        <w:t xml:space="preserve">te uma correlação entre as características os valores devem ser maior que 0,45, ou  maior que -0,45. Sendo que estes valores estão marcados de amarelo. </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462845647"/>
      <w:bookmarkStart w:id="11" w:name="_Toc304754464"/>
      <w:bookmarkStart w:id="12" w:name="_Toc40037899"/>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62845648"/>
      <w:bookmarkStart w:id="14" w:name="_Toc304754465"/>
      <w:bookmarkStart w:id="15" w:name="_Toc40037902"/>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628456481"/>
      <w:bookmarkStart w:id="17" w:name="_Toc3047544651"/>
      <w:bookmarkStart w:id="18" w:name="_Toc40037902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6284564811"/>
      <w:bookmarkStart w:id="20" w:name="_Toc30475446511"/>
      <w:bookmarkStart w:id="21" w:name="_Toc40037902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hecido" w:date="2021-01-29T14:09:2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bidi="ar-SA" w:eastAsia="en-US"/>
        </w:rPr>
        <w:t>Acrescentar o valor de corte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10</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12</w:t>
          </w:r>
          <w:r>
            <w:rPr>
              <w:color w:val="244061"/>
            </w:rPr>
            <w:fldChar w:fldCharType="end"/>
          </w:r>
        </w:p>
      </w:tc>
    </w:tr>
    <w:tr>
      <w:trPr/>
      <w:tc>
        <w:tcPr>
          <w:tcW w:w="4251" w:type="dxa"/>
          <w:tcBorders/>
          <w:vAlign w:val="center"/>
        </w:tcPr>
        <w:sdt>
          <w:sdtPr>
            <w:text/>
            <w:id w:val="606484208"/>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1494116580"/>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character" w:styleId="Ins">
    <w:name w:val="ins"/>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594</TotalTime>
  <Application>LibreOffice/7.0.3.1$Linux_X86_64 LibreOffice_project/00$Build-1</Application>
  <Pages>12</Pages>
  <Words>2039</Words>
  <Characters>11038</Characters>
  <CharactersWithSpaces>12782</CharactersWithSpaces>
  <Paragraphs>301</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Template Template Template Template Template Template Gerenciamento de Projetos</cp:keywords>
  <dc:language>pt-BR</dc:language>
  <cp:lastModifiedBy/>
  <dcterms:modified xsi:type="dcterms:W3CDTF">2021-01-29T15:04:53Z</dcterms:modified>
  <cp:revision>75</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