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4" w:name="_2et92p0" w:colFirst="0" w:colLast="0"/>
      <w:bookmarkEnd w:id="4"/>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7E7A0B">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7E7A0B">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7E7A0B">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7E7A0B">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7E7A0B">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lastRenderedPageBreak/>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7E7A0B">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aculativa.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r w:rsidR="00202A78" w:rsidRPr="00202A78">
        <w:rPr>
          <w:i/>
          <w:iCs/>
        </w:rPr>
        <w:t>Coupling Factor</w:t>
      </w:r>
      <w:r w:rsidR="00202A78" w:rsidRPr="00202A78">
        <w:t xml:space="preserve"> (CF)</w:t>
      </w:r>
      <w:r w:rsidR="00FA0423">
        <w:t xml:space="preserve"> </w:t>
      </w:r>
      <w:r w:rsidR="007C4F72">
        <w:t xml:space="preserve">e </w:t>
      </w:r>
      <w:r w:rsidR="00202A78" w:rsidRPr="00202A78">
        <w:rPr>
          <w:i/>
          <w:iCs/>
        </w:rPr>
        <w:t xml:space="preserve">Coupling Between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r w:rsidR="00202A78" w:rsidRPr="00202A78">
        <w:rPr>
          <w:i/>
          <w:iCs/>
        </w:rPr>
        <w:t xml:space="preserve">Polymorphism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métricas  de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1E7F3FAF" w:rsidR="005877BD" w:rsidRDefault="007A4D30" w:rsidP="00491C34">
      <w:r>
        <w:rPr>
          <w:noProof/>
        </w:rPr>
        <w:drawing>
          <wp:inline distT="0" distB="0" distL="0" distR="0" wp14:anchorId="12BACCAE" wp14:editId="28AA5ABB">
            <wp:extent cx="5760720" cy="2914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77777777"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4D6E77C6"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Com isso, observa-se que a classe de segurança se concentra nos valores mais baixos, já a </w:t>
      </w:r>
      <w:r w:rsidR="005F331D">
        <w:t>classe tradicional</w:t>
      </w:r>
      <w:r w:rsidR="00E4578F">
        <w:t xml:space="preserve">, possui os valores concentrados nas porcentagens mais altas.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77777777"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outras classes </w:t>
      </w:r>
      <w:r w:rsidR="004D2D1E">
        <w:lastRenderedPageBreak/>
        <w:t xml:space="preserve">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3EBE7B01" w:rsidR="00592C0B" w:rsidRDefault="00776752" w:rsidP="00D12875">
      <w:r>
        <w:rPr>
          <w:noProof/>
        </w:rPr>
        <w:drawing>
          <wp:inline distT="0" distB="0" distL="0" distR="0" wp14:anchorId="2C81A829" wp14:editId="276CD48F">
            <wp:extent cx="5760720" cy="2914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041AF5D8" w:rsidR="00F40F25" w:rsidRDefault="00F40F25" w:rsidP="00D12875">
      <w:r>
        <w:lastRenderedPageBreak/>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 xml:space="preserve">A classe de navegadores focados em privacidade apresentou uma menor distribuição dos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tendo em vista que uma alta complexidade na realização de testes e alteração do código. A classe tradicional é a classe que apresenta resultados que devem ser melhorados nesta métrica.</w:t>
      </w:r>
    </w:p>
    <w:p w14:paraId="195615A5" w14:textId="41F223F0" w:rsidR="00246EB3" w:rsidRDefault="00C01DA3" w:rsidP="00D12875">
      <w:r>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o valor até dois é considerado como um bom resultado, já quando os resultados atingem o valor entre dois e quatro é considerado como regular, a cima de quatro é considerado um valor ruim. A métrica NOC apresenta o número de filhos de uma classe, a medida que esta métrica aumenta, a quantidade de testes também aumentará.</w:t>
      </w:r>
    </w:p>
    <w:p w14:paraId="01598987" w14:textId="2EC2096E" w:rsidR="006B420B" w:rsidRDefault="00CC79A3" w:rsidP="00D12875">
      <w:r>
        <w:rPr>
          <w:noProof/>
        </w:rPr>
        <w:drawing>
          <wp:inline distT="0" distB="0" distL="0" distR="0" wp14:anchorId="67E4CAA5" wp14:editId="3969E6A5">
            <wp:extent cx="5760720" cy="28835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13BD4F6E"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tradicional apresenta os melhores resultados, onde </w:t>
      </w:r>
      <w:r w:rsidR="005D0A8B">
        <w:t>noventa por cento dos resultados estão concentrados em noventa por centos dos valores coletados. Já os valores da</w:t>
      </w:r>
      <w:r w:rsidR="00E53591">
        <w:t>s classes de privacidade possuem valores concentrados entre um a dez, possuindo valores acima de dez, com isto existem maiores valores, sendo necessário que ambas as classes melhorem seus valores.</w:t>
      </w:r>
      <w:r w:rsidR="00D85FC4">
        <w:t xml:space="preserve"> </w:t>
      </w:r>
      <w:r w:rsidR="00E53591">
        <w:t xml:space="preserve">A Figura </w:t>
      </w:r>
      <w:r w:rsidR="005B766B">
        <w:t>3</w:t>
      </w:r>
      <w:r w:rsidR="00E53591">
        <w:t xml:space="preserve">(b) apresenta os resultados para as métricas NOC. A classe tradicional é a classe que apresenta melhores resultados, concentrando os seus valores abaixo de 1. A classe de segurança é a que apresenta os resultados a serem melhorados, pois seus dados se concentram entre os valores entre dois e quinze. </w:t>
      </w:r>
    </w:p>
    <w:p w14:paraId="7252529B" w14:textId="567C3F1C" w:rsidR="00CC79A3" w:rsidRDefault="005B766B" w:rsidP="00D12875">
      <w:r>
        <w:lastRenderedPageBreak/>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067DDFB9" w:rsidR="00932125" w:rsidRDefault="00EB0BD5" w:rsidP="00D12875">
      <w:r>
        <w:rPr>
          <w:noProof/>
        </w:rPr>
        <w:drawing>
          <wp:inline distT="0" distB="0" distL="0" distR="0" wp14:anchorId="25FC6F63" wp14:editId="7F67E134">
            <wp:extent cx="5760720" cy="28835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Conjunt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16168063"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os valores iniciais até um valor próximo à vinte e cinco possuem cerca de 40% da distribuição. A classe tradicional apresenta valores próximos a sessenta nesta métrica, sendo a que apresenta maiores valores para esta métrica.</w:t>
      </w:r>
      <w:r w:rsidR="00E937C2">
        <w:t xml:space="preserve"> A classe dos navegadores focados em privacidade são os que apresentaram menores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0292D834"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está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lastRenderedPageBreak/>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40CB9ED" w:rsidR="00EB0BD5" w:rsidRPr="001D6E02" w:rsidRDefault="001D6E02" w:rsidP="001D6E02">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Se LCOM for alto, métodos podem ser acoplados uns aos outros via atributos. Isso aumenta a complexidade do projeto de classe.</w:t>
      </w:r>
      <w:r w:rsidR="00D04C2F">
        <w:t xml:space="preserve"> Os resultados obtidos para esta métrica é apresentado na Figura 5.</w:t>
      </w:r>
    </w:p>
    <w:p w14:paraId="0BA37564" w14:textId="63BFCB58" w:rsidR="00EB0BD5" w:rsidRPr="00C17D1D" w:rsidRDefault="00E846BE" w:rsidP="00551B8C">
      <w:pPr>
        <w:jc w:val="center"/>
      </w:pPr>
      <w:r>
        <w:rPr>
          <w:noProof/>
        </w:rPr>
        <w:drawing>
          <wp:inline distT="0" distB="0" distL="0" distR="0" wp14:anchorId="4FE8E4E8" wp14:editId="1D848C35">
            <wp:extent cx="3600000" cy="3600000"/>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LCOM_Media .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1A7DBEBB" w:rsidR="00EB0BD5" w:rsidRPr="00C17D1D" w:rsidRDefault="00E846BE" w:rsidP="00D12875">
      <w:r>
        <w:tab/>
        <w:t xml:space="preserve">Neste gráfico pode-se observar que ac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os umas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15C2BA92" w:rsidR="00971D86" w:rsidRDefault="00D0579E" w:rsidP="008D434C">
      <w:pPr>
        <w:jc w:val="center"/>
      </w:pPr>
      <w:r>
        <w:rPr>
          <w:noProof/>
        </w:rPr>
        <w:lastRenderedPageBreak/>
        <w:drawing>
          <wp:inline distT="0" distB="0" distL="0" distR="0" wp14:anchorId="6A7C3C04" wp14:editId="5ECFAAEA">
            <wp:extent cx="3600000" cy="3600000"/>
            <wp:effectExtent l="0" t="0" r="635"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294813">
      <w:r>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294813">
      <w:r>
        <w:lastRenderedPageBreak/>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da distribuição da linguagem HTML está em até cerca de 25.000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bookmarkStart w:id="6" w:name="_GoBack"/>
      <w:bookmarkEnd w:id="6"/>
      <w:r w:rsidR="009274B6">
        <w:t xml:space="preserve"> é maior, já na linguagem XML, a classe tradicional apresenta um maior número de linha de código.</w:t>
      </w:r>
    </w:p>
    <w:p w14:paraId="151F5994" w14:textId="01BA872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p>
    <w:p w14:paraId="48A1951F" w14:textId="5AE1EDCC" w:rsidR="00583DDB" w:rsidRDefault="00AC516B" w:rsidP="0039114A">
      <w:pPr>
        <w:jc w:val="center"/>
      </w:pPr>
      <w:r>
        <w:rPr>
          <w:noProof/>
        </w:rPr>
        <w:drawing>
          <wp:inline distT="0" distB="0" distL="0" distR="0" wp14:anchorId="286C810E" wp14:editId="56A15C39">
            <wp:extent cx="3600000" cy="3600000"/>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B32074D" w14:textId="182BA3D4"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74B410DF" w14:textId="492274EC" w:rsidR="00F23462" w:rsidRDefault="00D16565" w:rsidP="00D16565">
      <w:pPr>
        <w:pStyle w:val="Ttulo3"/>
      </w:pPr>
      <w:r>
        <w:t>5.3. Analise</w:t>
      </w:r>
    </w:p>
    <w:p w14:paraId="49EC5FD8" w14:textId="01706C07" w:rsidR="00D16565" w:rsidRDefault="000F61AC" w:rsidP="0000176D">
      <w:r>
        <w:t xml:space="preserve">Nas duas principais categorias de métricas a classe tradicional apresentou resultados a serem melhorados. Já os navegadores focados em privacidade apresentaram resultados a serem melhorados nas métricas de acoplamento e os melhores índices nas métricas estruturais. Por último, </w:t>
      </w:r>
      <w:r w:rsidR="00285DD9">
        <w:t>os navegadores focados em segurança se apresentaram</w:t>
      </w:r>
      <w:r>
        <w:t xml:space="preserve"> com resultados mais constantes em todas as categorias de métricas.</w:t>
      </w:r>
    </w:p>
    <w:p w14:paraId="50ECEB75" w14:textId="3C7E77D1" w:rsidR="00FA23F3" w:rsidRPr="000F61AC" w:rsidRDefault="00FA23F3" w:rsidP="0000176D">
      <w:r>
        <w:tab/>
        <w:t xml:space="preserve">A principal motivação da realização deste estudo é a de verificar se os navegadores focados em segurança são os que apresentam melhores resultados na qualidade do código-fonte, pelo fato de estarem focados em segurança. Com base neste nos resultados obtidos pode-se </w:t>
      </w:r>
      <w:r>
        <w:lastRenderedPageBreak/>
        <w:t>verificar que estes navegadores apresentaram os resultados constantes, mas que precisam melhorar a qualidade do código fonte.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7" w:name="_1t3h5sf" w:colFirst="0" w:colLast="0"/>
      <w:bookmarkEnd w:id="7"/>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5910F6" w:rsidRDefault="00C15F26">
      <w:pPr>
        <w:pBdr>
          <w:top w:val="nil"/>
          <w:left w:val="nil"/>
          <w:bottom w:val="nil"/>
          <w:right w:val="nil"/>
          <w:between w:val="nil"/>
        </w:pBdr>
        <w:spacing w:before="0" w:after="200"/>
        <w:ind w:left="1440" w:hanging="720"/>
        <w:jc w:val="left"/>
        <w:rPr>
          <w:lang w:val="en-US"/>
        </w:rPr>
      </w:pPr>
      <w:r w:rsidRPr="005910F6">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5910F6">
        <w:rPr>
          <w:lang w:val="en-US"/>
        </w:rPr>
        <w:t xml:space="preserve">TANENBAUM, A. S. Redes de Computadores 5ª ed. </w:t>
      </w:r>
      <w:r w:rsidRPr="00334BBD">
        <w:rPr>
          <w:lang w:val="en-US"/>
        </w:rPr>
        <w:t>São Paulo: Pearson, 2011.</w:t>
      </w:r>
    </w:p>
    <w:p w14:paraId="73985387" w14:textId="77777777" w:rsidR="000559C4" w:rsidRPr="005910F6" w:rsidRDefault="00C15F26">
      <w:pPr>
        <w:pBdr>
          <w:top w:val="nil"/>
          <w:left w:val="nil"/>
          <w:bottom w:val="nil"/>
          <w:right w:val="nil"/>
          <w:between w:val="nil"/>
        </w:pBdr>
        <w:jc w:val="left"/>
        <w:rPr>
          <w:lang w:val="en-US"/>
        </w:rPr>
      </w:pPr>
      <w:r w:rsidRPr="005910F6">
        <w:rPr>
          <w:lang w:val="en-US"/>
        </w:rPr>
        <w:t>Tor</w:t>
      </w:r>
      <w:r w:rsidRPr="005910F6">
        <w:rPr>
          <w:color w:val="000000"/>
          <w:lang w:val="en-US"/>
        </w:rPr>
        <w:t xml:space="preserve">. (2017) “What is Tor Browser?”, </w:t>
      </w:r>
      <w:r w:rsidRPr="005910F6">
        <w:rPr>
          <w:lang w:val="en-US"/>
        </w:rPr>
        <w:t>Disponível</w:t>
      </w:r>
      <w:r w:rsidRPr="005910F6">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lastRenderedPageBreak/>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4F6B" w14:textId="77777777" w:rsidR="00D212C0" w:rsidRDefault="00D212C0">
      <w:pPr>
        <w:spacing w:before="0"/>
      </w:pPr>
      <w:r>
        <w:separator/>
      </w:r>
    </w:p>
  </w:endnote>
  <w:endnote w:type="continuationSeparator" w:id="0">
    <w:p w14:paraId="7070C3D6" w14:textId="77777777" w:rsidR="00D212C0" w:rsidRDefault="00D212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7E7A0B" w:rsidRPr="0067168E" w:rsidRDefault="007E7A0B">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7E7A0B" w:rsidRPr="0067168E" w:rsidRDefault="007E7A0B">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63469" w14:textId="77777777" w:rsidR="00D212C0" w:rsidRDefault="00D212C0">
      <w:pPr>
        <w:spacing w:before="0"/>
      </w:pPr>
      <w:r>
        <w:separator/>
      </w:r>
    </w:p>
  </w:footnote>
  <w:footnote w:type="continuationSeparator" w:id="0">
    <w:p w14:paraId="391BC030" w14:textId="77777777" w:rsidR="00D212C0" w:rsidRDefault="00D212C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7E7A0B" w:rsidRDefault="007E7A0B">
    <w:r>
      <w:fldChar w:fldCharType="begin"/>
    </w:r>
    <w:r>
      <w:instrText>PAGE</w:instrText>
    </w:r>
    <w:r>
      <w:fldChar w:fldCharType="end"/>
    </w:r>
  </w:p>
  <w:p w14:paraId="5AC09D02" w14:textId="77777777" w:rsidR="007E7A0B" w:rsidRDefault="007E7A0B">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7E7A0B" w:rsidRDefault="007E7A0B"/>
  <w:p w14:paraId="714A3AD2" w14:textId="77777777" w:rsidR="007E7A0B" w:rsidRDefault="007E7A0B">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C2646"/>
    <w:rsid w:val="000F0AE3"/>
    <w:rsid w:val="000F61AC"/>
    <w:rsid w:val="000F78F7"/>
    <w:rsid w:val="000F7A10"/>
    <w:rsid w:val="00103BEA"/>
    <w:rsid w:val="00104EF4"/>
    <w:rsid w:val="00114A77"/>
    <w:rsid w:val="00117F11"/>
    <w:rsid w:val="00122DE3"/>
    <w:rsid w:val="00132903"/>
    <w:rsid w:val="00141828"/>
    <w:rsid w:val="00146370"/>
    <w:rsid w:val="001653FE"/>
    <w:rsid w:val="001656BA"/>
    <w:rsid w:val="0016712F"/>
    <w:rsid w:val="00172CD5"/>
    <w:rsid w:val="00174DCA"/>
    <w:rsid w:val="001807F4"/>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5963"/>
    <w:rsid w:val="00285DD9"/>
    <w:rsid w:val="00291CD1"/>
    <w:rsid w:val="00294813"/>
    <w:rsid w:val="002A33C5"/>
    <w:rsid w:val="002A5CD6"/>
    <w:rsid w:val="002B3493"/>
    <w:rsid w:val="002B5DCA"/>
    <w:rsid w:val="002B6419"/>
    <w:rsid w:val="002C4637"/>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B1B61"/>
    <w:rsid w:val="003B653F"/>
    <w:rsid w:val="003D0C01"/>
    <w:rsid w:val="003D70BE"/>
    <w:rsid w:val="003D7B9A"/>
    <w:rsid w:val="003F5294"/>
    <w:rsid w:val="00403DB9"/>
    <w:rsid w:val="00415A23"/>
    <w:rsid w:val="0042614F"/>
    <w:rsid w:val="00433088"/>
    <w:rsid w:val="004467F3"/>
    <w:rsid w:val="00457F01"/>
    <w:rsid w:val="00460EC3"/>
    <w:rsid w:val="0046560E"/>
    <w:rsid w:val="00465D33"/>
    <w:rsid w:val="00484D7D"/>
    <w:rsid w:val="00491C34"/>
    <w:rsid w:val="00494DE9"/>
    <w:rsid w:val="004C32F6"/>
    <w:rsid w:val="004D2D1E"/>
    <w:rsid w:val="004E1E7F"/>
    <w:rsid w:val="004F2CA3"/>
    <w:rsid w:val="004F4623"/>
    <w:rsid w:val="004F5BC1"/>
    <w:rsid w:val="00501D82"/>
    <w:rsid w:val="0053247C"/>
    <w:rsid w:val="00533878"/>
    <w:rsid w:val="00551B8C"/>
    <w:rsid w:val="00556C9C"/>
    <w:rsid w:val="0056248D"/>
    <w:rsid w:val="0057248B"/>
    <w:rsid w:val="005834E3"/>
    <w:rsid w:val="00583DDB"/>
    <w:rsid w:val="005877BD"/>
    <w:rsid w:val="005910F6"/>
    <w:rsid w:val="00592C0B"/>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7107"/>
    <w:rsid w:val="00640825"/>
    <w:rsid w:val="00654861"/>
    <w:rsid w:val="00655098"/>
    <w:rsid w:val="0067168E"/>
    <w:rsid w:val="006937F4"/>
    <w:rsid w:val="006A2B6F"/>
    <w:rsid w:val="006B420B"/>
    <w:rsid w:val="006B7896"/>
    <w:rsid w:val="006D15A3"/>
    <w:rsid w:val="006D2571"/>
    <w:rsid w:val="006D3F8A"/>
    <w:rsid w:val="006D5703"/>
    <w:rsid w:val="006F2596"/>
    <w:rsid w:val="007118A7"/>
    <w:rsid w:val="0071341B"/>
    <w:rsid w:val="00715994"/>
    <w:rsid w:val="0071603F"/>
    <w:rsid w:val="00724CA7"/>
    <w:rsid w:val="00734154"/>
    <w:rsid w:val="00755257"/>
    <w:rsid w:val="0076503E"/>
    <w:rsid w:val="00765FE7"/>
    <w:rsid w:val="007750E7"/>
    <w:rsid w:val="00776752"/>
    <w:rsid w:val="00790798"/>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21791"/>
    <w:rsid w:val="00A26421"/>
    <w:rsid w:val="00A52127"/>
    <w:rsid w:val="00A52446"/>
    <w:rsid w:val="00A52E45"/>
    <w:rsid w:val="00A653F5"/>
    <w:rsid w:val="00A74084"/>
    <w:rsid w:val="00A76DD3"/>
    <w:rsid w:val="00A86C60"/>
    <w:rsid w:val="00AB4277"/>
    <w:rsid w:val="00AB788C"/>
    <w:rsid w:val="00AC516B"/>
    <w:rsid w:val="00AC58BB"/>
    <w:rsid w:val="00AD43C9"/>
    <w:rsid w:val="00AE0BC5"/>
    <w:rsid w:val="00AE50D2"/>
    <w:rsid w:val="00AF4496"/>
    <w:rsid w:val="00AF7094"/>
    <w:rsid w:val="00B03234"/>
    <w:rsid w:val="00B23E6A"/>
    <w:rsid w:val="00B27F0C"/>
    <w:rsid w:val="00B32EFE"/>
    <w:rsid w:val="00B45B65"/>
    <w:rsid w:val="00B62557"/>
    <w:rsid w:val="00B65931"/>
    <w:rsid w:val="00B75E52"/>
    <w:rsid w:val="00B816FA"/>
    <w:rsid w:val="00BA5032"/>
    <w:rsid w:val="00BA50BD"/>
    <w:rsid w:val="00BA7B96"/>
    <w:rsid w:val="00BC0494"/>
    <w:rsid w:val="00BE0714"/>
    <w:rsid w:val="00BE0B62"/>
    <w:rsid w:val="00C01DA3"/>
    <w:rsid w:val="00C05F65"/>
    <w:rsid w:val="00C11FB7"/>
    <w:rsid w:val="00C13975"/>
    <w:rsid w:val="00C15F26"/>
    <w:rsid w:val="00C17D1D"/>
    <w:rsid w:val="00C23745"/>
    <w:rsid w:val="00C370D9"/>
    <w:rsid w:val="00C413E1"/>
    <w:rsid w:val="00C45E6C"/>
    <w:rsid w:val="00C60251"/>
    <w:rsid w:val="00C6482E"/>
    <w:rsid w:val="00C66BD7"/>
    <w:rsid w:val="00C66FD6"/>
    <w:rsid w:val="00CA33FF"/>
    <w:rsid w:val="00CB2C29"/>
    <w:rsid w:val="00CB3296"/>
    <w:rsid w:val="00CB4A7B"/>
    <w:rsid w:val="00CB5C24"/>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755F0"/>
    <w:rsid w:val="00E812FB"/>
    <w:rsid w:val="00E846BE"/>
    <w:rsid w:val="00E937C2"/>
    <w:rsid w:val="00EA46F3"/>
    <w:rsid w:val="00EB0BD5"/>
    <w:rsid w:val="00EC6B0C"/>
    <w:rsid w:val="00F0202A"/>
    <w:rsid w:val="00F104C7"/>
    <w:rsid w:val="00F23462"/>
    <w:rsid w:val="00F32CD4"/>
    <w:rsid w:val="00F33193"/>
    <w:rsid w:val="00F40F25"/>
    <w:rsid w:val="00F52149"/>
    <w:rsid w:val="00F54041"/>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702E-CF6B-4F75-B09C-0BC7A6C9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TotalTime>
  <Pages>22</Pages>
  <Words>7992</Words>
  <Characters>43160</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168</cp:revision>
  <cp:lastPrinted>2019-09-23T00:12:00Z</cp:lastPrinted>
  <dcterms:created xsi:type="dcterms:W3CDTF">2019-09-06T13:53:00Z</dcterms:created>
  <dcterms:modified xsi:type="dcterms:W3CDTF">2019-10-03T13:27:00Z</dcterms:modified>
</cp:coreProperties>
</file>