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5FEC2C32"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FC6596" w:rsidRPr="00FC6596">
        <w:rPr>
          <w:i/>
          <w:color w:val="000000"/>
          <w:lang w:val="en-US"/>
        </w:rPr>
        <w:t>While there is a wide diversity of web browsers available today, little is known about the quality of these browsers' source code. Software is important, because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that were used in this study are raised. The analysis of the metrics constitutes analysis of correlation statistics and the accumulated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0DFF5F1E"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Pr>
          <w:i/>
          <w:color w:val="000000"/>
        </w:rPr>
        <w:t xml:space="preserve">, pouco se sabe sobre a qualidade do código fonte destes navegadores. </w:t>
      </w:r>
      <w:r w:rsidR="00185EB6">
        <w:rPr>
          <w:i/>
          <w:color w:val="000000"/>
        </w:rPr>
        <w:t>U</w:t>
      </w:r>
      <w:r>
        <w:rPr>
          <w:i/>
          <w:color w:val="000000"/>
        </w:rPr>
        <w:t>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 que foram utilizadas neste estudo</w:t>
      </w:r>
      <w:r w:rsidR="005C2A29">
        <w:rPr>
          <w:i/>
        </w:rPr>
        <w:t>. As análises das métricas constituem em análise estatísticas de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código fonte</w:t>
      </w:r>
      <w:r w:rsidR="005148AD">
        <w:rPr>
          <w:i/>
        </w:rPr>
        <w:t>.</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747F255D" w14:textId="08EB3801" w:rsidR="000559C4" w:rsidRDefault="00C15F26">
      <w:r>
        <w:lastRenderedPageBreak/>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050AD9E" w14:textId="0F22B3CB" w:rsidR="00D20AE5"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caracterizar dados de navegadores através de aplicações da abordagem</w:t>
      </w:r>
      <w:r w:rsidR="00D20AE5">
        <w:t>.</w:t>
      </w:r>
    </w:p>
    <w:p w14:paraId="4CC96256" w14:textId="65DFAA26" w:rsidR="000559C4" w:rsidRDefault="00D20AE5">
      <w:pPr>
        <w:rPr>
          <w:highlight w:val="white"/>
        </w:rPr>
      </w:pPr>
      <w:r>
        <w:tab/>
        <w:t xml:space="preserve">O presente estudo tem como contribuição </w:t>
      </w:r>
      <w:r w:rsidR="00C15F26">
        <w:t xml:space="preserve">estabelecer critérios que permitam compreender qual classe de navegador apresenta uma melhor qualidade no código-fonte. </w:t>
      </w:r>
      <w:r>
        <w:rPr>
          <w:highlight w:val="white"/>
        </w:rPr>
        <w:t>Além de possibilitar através das</w:t>
      </w:r>
      <w:r w:rsidR="00C15F26">
        <w:rPr>
          <w:highlight w:val="white"/>
        </w:rPr>
        <w:t xml:space="preserve"> análise</w:t>
      </w:r>
      <w:r>
        <w:rPr>
          <w:highlight w:val="white"/>
        </w:rPr>
        <w:t>s</w:t>
      </w:r>
      <w:r w:rsidR="00C15F26">
        <w:rPr>
          <w:highlight w:val="white"/>
        </w:rPr>
        <w:t xml:space="preserve"> dos resultados seja possível verificar a qualidade do código-fonte dos navegadores e ter critérios objetivos de comparação entre eles. </w:t>
      </w:r>
      <w:r>
        <w:rPr>
          <w:highlight w:val="white"/>
        </w:rPr>
        <w:t>Por último a</w:t>
      </w:r>
      <w:r w:rsidR="00C15F26">
        <w:rPr>
          <w:highlight w:val="white"/>
        </w:rPr>
        <w:t xml:space="preserve"> de apresentar uma análise comparativa das classes de navegadores.</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58FC4844" w14:textId="06B86E55"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29D94BAD"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 qual o módulo com maior número de linhas de código</w:t>
      </w:r>
      <w:r w:rsidR="002071C2">
        <w:t xml:space="preserve">. Além de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lastRenderedPageBreak/>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3" w:name="_2et92p0" w:colFirst="0" w:colLast="0"/>
      <w:bookmarkEnd w:id="3"/>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 xml:space="preserve">[Pressman e </w:t>
      </w:r>
      <w:proofErr w:type="spellStart"/>
      <w:r w:rsidR="00C15F26">
        <w:t>Maxim</w:t>
      </w:r>
      <w:proofErr w:type="spellEnd"/>
      <w:r w:rsidR="00C15F26">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rsidR="00C15F26">
        <w:t>Maxim</w:t>
      </w:r>
      <w:proofErr w:type="spellEnd"/>
      <w:r w:rsidR="00C15F26">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xml:space="preserve">. Também é apresentado um estudo da </w:t>
      </w:r>
      <w:r>
        <w:lastRenderedPageBreak/>
        <w:t>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1D884860"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w:t>
      </w:r>
      <w:r w:rsidRPr="0005194E">
        <w:rPr>
          <w:i/>
          <w:iCs/>
        </w:rPr>
        <w:t xml:space="preserve">analisar a qualidade de código fonte de diferentes classes de navegadores com a finalidade de realizar uma análise comparativa da qualidade destas classes com relação a </w:t>
      </w:r>
      <w:r w:rsidRPr="0005194E">
        <w:rPr>
          <w:i/>
          <w:iCs/>
        </w:rPr>
        <w:lastRenderedPageBreak/>
        <w:t>qualidade do software do ponto de vista dos envolvidos com o desenvolvimento e manutenção 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4E4D56">
              <w:rPr>
                <w:i/>
                <w:iCs/>
                <w:sz w:val="20"/>
                <w:szCs w:val="20"/>
              </w:rPr>
              <w:t>Coupling</w:t>
            </w:r>
            <w:proofErr w:type="spellEnd"/>
            <w:r w:rsidRPr="004E4D56">
              <w:rPr>
                <w:i/>
                <w:iCs/>
                <w:sz w:val="20"/>
                <w:szCs w:val="20"/>
              </w:rPr>
              <w:t xml:space="preserve"> </w:t>
            </w:r>
            <w:proofErr w:type="spellStart"/>
            <w:r w:rsidRPr="004E4D56">
              <w:rPr>
                <w:i/>
                <w:iCs/>
                <w:sz w:val="20"/>
                <w:szCs w:val="20"/>
              </w:rPr>
              <w:t>Between</w:t>
            </w:r>
            <w:proofErr w:type="spellEnd"/>
            <w:r w:rsidRPr="004E4D56">
              <w:rPr>
                <w:i/>
                <w:iCs/>
                <w:sz w:val="20"/>
                <w:szCs w:val="20"/>
              </w:rPr>
              <w:t xml:space="preserve"> </w:t>
            </w:r>
            <w:proofErr w:type="spellStart"/>
            <w:r w:rsidRPr="004E4D56">
              <w:rPr>
                <w:i/>
                <w:iCs/>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4E4D56">
              <w:rPr>
                <w:i/>
                <w:iCs/>
                <w:sz w:val="20"/>
                <w:szCs w:val="20"/>
              </w:rPr>
              <w:t>Coupling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4E4D56">
              <w:rPr>
                <w:i/>
                <w:iCs/>
                <w:sz w:val="20"/>
                <w:szCs w:val="20"/>
              </w:rPr>
              <w:t>Number</w:t>
            </w:r>
            <w:proofErr w:type="spellEnd"/>
            <w:r w:rsidRPr="004E4D56">
              <w:rPr>
                <w:i/>
                <w:iCs/>
                <w:sz w:val="20"/>
                <w:szCs w:val="20"/>
              </w:rPr>
              <w:t xml:space="preserve">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 xml:space="preserve">Weighted </w:t>
            </w:r>
            <w:r w:rsidRPr="004E4D56">
              <w:rPr>
                <w:i/>
                <w:iCs/>
                <w:sz w:val="20"/>
                <w:szCs w:val="20"/>
                <w:lang w:val="en-US"/>
              </w:rPr>
              <w:lastRenderedPageBreak/>
              <w:t>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lastRenderedPageBreak/>
              <w:t>Soma ponderada de todos os métodos da classe;</w:t>
            </w:r>
            <w:r w:rsidR="00910BF1">
              <w:rPr>
                <w:sz w:val="20"/>
                <w:szCs w:val="20"/>
              </w:rPr>
              <w:t xml:space="preserve"> v</w:t>
            </w:r>
            <w:r w:rsidR="00910BF1" w:rsidRPr="00910BF1">
              <w:rPr>
                <w:sz w:val="20"/>
                <w:szCs w:val="20"/>
              </w:rPr>
              <w:t xml:space="preserve">alores altos indicam que uma classe pode ter muita responsabilidade. Isso </w:t>
            </w:r>
            <w:r w:rsidR="00910BF1" w:rsidRPr="00910BF1">
              <w:rPr>
                <w:sz w:val="20"/>
                <w:szCs w:val="20"/>
              </w:rPr>
              <w:lastRenderedPageBreak/>
              <w:t>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lastRenderedPageBreak/>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rsidP="00B272F3">
            <w:pPr>
              <w:rPr>
                <w:sz w:val="20"/>
                <w:szCs w:val="20"/>
              </w:rPr>
            </w:pPr>
            <w:r w:rsidRPr="0088748F">
              <w:rPr>
                <w:sz w:val="20"/>
                <w:szCs w:val="20"/>
              </w:rPr>
              <w:t xml:space="preserve">LOC - </w:t>
            </w:r>
            <w:r w:rsidRPr="004E4D56">
              <w:rPr>
                <w:i/>
                <w:iCs/>
                <w:sz w:val="20"/>
                <w:szCs w:val="20"/>
              </w:rPr>
              <w:t xml:space="preserve">Lines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pacote</w:t>
            </w:r>
            <w:proofErr w:type="spellEnd"/>
            <w:r w:rsidRPr="00B272F3">
              <w:rPr>
                <w:sz w:val="20"/>
                <w:szCs w:val="20"/>
                <w:lang w:val="en-US"/>
              </w:rPr>
              <w:t xml:space="preserv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linguagem</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4E4D56">
              <w:rPr>
                <w:i/>
                <w:iCs/>
                <w:sz w:val="20"/>
                <w:szCs w:val="20"/>
              </w:rPr>
              <w:t>Polymorphism</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lastRenderedPageBreak/>
        <w:t>4.2. Navegadores</w:t>
      </w:r>
    </w:p>
    <w:p w14:paraId="23BBA260" w14:textId="421D239A"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 </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3305F1">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3305F1">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3305F1">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3305F1">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3305F1">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3305F1">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3305F1">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3305F1">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3305F1">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3305F1">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3305F1">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3305F1">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3305F1">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3305F1">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3305F1">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3305F1">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3305F1">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3305F1">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3305F1">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3305F1">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3305F1">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lastRenderedPageBreak/>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3305F1">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3305F1">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3305F1">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3305F1">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3305F1">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3305F1">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65C6696C"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w:t>
      </w:r>
      <w:r w:rsidR="00AA5E9E">
        <w:t>s</w:t>
      </w:r>
      <w:r w:rsidR="00C15F26">
        <w: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5A32FFB4" w14:textId="4A931034" w:rsidR="001D448E"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470F32">
        <w:t>visa verificar se</w:t>
      </w:r>
      <w:r w:rsidR="00F2036C">
        <w:t xml:space="preserve"> existe um</w:t>
      </w:r>
      <w:r w:rsidR="00470F32">
        <w:t>a</w:t>
      </w:r>
      <w:r w:rsidR="00F2036C">
        <w:t xml:space="preserve"> </w:t>
      </w:r>
      <w:r w:rsidR="00470F32">
        <w:t>relação</w:t>
      </w:r>
      <w:r w:rsidR="00F2036C">
        <w:t xml:space="preserv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DC2DAB">
        <w:t xml:space="preserve"> </w:t>
      </w:r>
      <w:r w:rsidR="00DC2DAB" w:rsidRPr="00DC2DAB">
        <w:t>que mede o grau da correlação linear entre duas variáveis quantitativas</w:t>
      </w:r>
      <w:r w:rsidR="00FA051F">
        <w:t xml:space="preserve">. </w:t>
      </w:r>
      <w:r w:rsidR="00FC23E9">
        <w:t xml:space="preserve">O desvio padrão </w:t>
      </w:r>
      <w:r w:rsidR="00FC23E9" w:rsidRPr="00823941">
        <w:t>é uma medida que expressa o grau de dispersão de um conjunto de dados</w:t>
      </w:r>
      <w:r w:rsidR="006C4C3F">
        <w:t xml:space="preserve">, </w:t>
      </w:r>
      <w:r w:rsidR="006C4C3F" w:rsidRPr="006C4C3F">
        <w:t>ou seja, é uma medida que indica o quanto o conjunto de dados é uniforme</w:t>
      </w:r>
      <w:r w:rsidR="00FC23E9">
        <w:t>.</w:t>
      </w:r>
      <w:r w:rsidR="00FC23E9" w:rsidRPr="00823941">
        <w:t xml:space="preserve"> Neste estudo</w:t>
      </w:r>
      <w:r w:rsidR="00F2036C">
        <w:t>,</w:t>
      </w:r>
      <w:r w:rsidR="00FC23E9" w:rsidRPr="00823941">
        <w:t xml:space="preserve"> os resultados </w:t>
      </w:r>
      <w:r w:rsidR="00FC23E9">
        <w:t>negativos</w:t>
      </w:r>
      <w:r w:rsidR="00553478">
        <w:t xml:space="preserve"> das correlações</w:t>
      </w:r>
      <w:r w:rsidR="00FC23E9" w:rsidRPr="00823941">
        <w:t xml:space="preserve"> foram transformados em positivos para calcular a média, pois o intuito destes resultados é verificar a correlação das métricas com as demais.</w:t>
      </w:r>
      <w:r>
        <w:t xml:space="preserve"> Ou seja, se existe ou não correlação entre as métricas.</w:t>
      </w:r>
      <w:r w:rsidR="00FC23E9" w:rsidRPr="00823941">
        <w:t xml:space="preserve"> </w:t>
      </w:r>
      <w:r w:rsidR="00FC23E9">
        <w:t>Estes resultados serviram de base para seleção das métricas. As métricas selecionadas foram as que obtiveram uma média menor 0,4</w:t>
      </w:r>
      <w:r w:rsidR="00B74981">
        <w:t>0</w:t>
      </w:r>
      <w:r w:rsidR="00FC23E9">
        <w:t xml:space="preserve"> </w:t>
      </w:r>
      <w:r w:rsidR="00AE161F">
        <w:t>em pelo menos uma das</w:t>
      </w:r>
      <w:r w:rsidR="005B615C">
        <w:t xml:space="preserve"> classes de navegadores</w:t>
      </w:r>
      <w:r w:rsidR="00FC23E9">
        <w:t>.</w:t>
      </w:r>
    </w:p>
    <w:p w14:paraId="5C6BBCFA" w14:textId="79474E70" w:rsidR="00815D03" w:rsidRPr="000050BE" w:rsidRDefault="00815D03" w:rsidP="00815D03">
      <w:pPr>
        <w:spacing w:after="240"/>
      </w:pPr>
      <w:r>
        <w:t xml:space="preserve">A distribuição acumulada apresenta a probabilidade de um valor de uma variável x assumir determinados valores. </w:t>
      </w:r>
      <w:r w:rsidR="00752CAB">
        <w:t xml:space="preserve">Ou seja, o gráfico de distribuição apresenta o percentual da distribuição dos resultados.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lastRenderedPageBreak/>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E53C6AD"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4BC33DE7" w:rsidR="00D03586" w:rsidRDefault="003E1B3F" w:rsidP="00D03586">
      <w:r>
        <w:t xml:space="preserve">A Figura 1 apresenta a distribuição acumulada das métricas estruturais das classes de navegadores. </w:t>
      </w:r>
      <w:r w:rsidR="00D03586">
        <w:t>As Figuras 1(a). 1(b), 1(c) e 1(d) apresentam a distribuição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61C1F2B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proofErr w:type="gramStart"/>
      <w:r w:rsidR="00FC2DC6">
        <w:t>o código d</w:t>
      </w:r>
      <w:r w:rsidRPr="006040A1">
        <w:t>as classes são</w:t>
      </w:r>
      <w:proofErr w:type="gramEnd"/>
      <w:r w:rsidRPr="006040A1">
        <w:t xml:space="preserve"> muito grandes, necessitando distribuir o seu código em outras classes, dividindo a suas responsabilidades. A classe dos navegadores focados em privacidade apresentou os melhores valores para esta métrica.</w:t>
      </w:r>
    </w:p>
    <w:p w14:paraId="77C0087A" w14:textId="476EBEBD" w:rsidR="0073747E" w:rsidRDefault="0073747E" w:rsidP="0073747E">
      <w:r>
        <w:tab/>
      </w:r>
      <w:r w:rsidRPr="00D91A1A">
        <w:t>A Figura 1(g)</w:t>
      </w:r>
      <w:r>
        <w:t xml:space="preserve"> </w:t>
      </w:r>
      <w:r w:rsidRPr="00D91A1A">
        <w:t xml:space="preserve">apresenta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 xml:space="preserve">Para esta métrica a classe privacidade apresenta os melhores resultados, onde os resultados estão concentrados nos menores valores coletados. Já os valores das classes tradicional possuem valores </w:t>
      </w:r>
      <w:r w:rsidRPr="00D91A1A">
        <w:lastRenderedPageBreak/>
        <w:t>concentrados nos maiores valores desta métrica</w:t>
      </w:r>
      <w:r w:rsidR="00C65568">
        <w:t>.</w:t>
      </w:r>
      <w:r w:rsidRPr="00D91A1A">
        <w:t xml:space="preserve"> </w:t>
      </w:r>
      <w:r w:rsidR="00C65568">
        <w:t>I</w:t>
      </w:r>
      <w:r w:rsidR="005D5F43">
        <w:t>sto indica que</w:t>
      </w:r>
      <w:r w:rsidR="00C65568">
        <w:t xml:space="preserve"> o código dos navegadores da classe tradicional é mais complexo que as demais classes.</w:t>
      </w:r>
    </w:p>
    <w:p w14:paraId="5B2E3357" w14:textId="6F608B79" w:rsidR="00FC23EC" w:rsidRDefault="0076798A" w:rsidP="00BF3669">
      <w:pPr>
        <w:rPr>
          <w:sz w:val="20"/>
          <w:szCs w:val="20"/>
        </w:rPr>
      </w:pPr>
      <w:r>
        <w:rPr>
          <w:noProof/>
          <w:sz w:val="20"/>
          <w:szCs w:val="20"/>
        </w:rPr>
        <w:drawing>
          <wp:inline distT="0" distB="0" distL="0" distR="0" wp14:anchorId="65D38ECD" wp14:editId="283CF18D">
            <wp:extent cx="5760720"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88465"/>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2CF5BD9A">
            <wp:extent cx="5760720" cy="1996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99644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57741889">
            <wp:extent cx="5760720" cy="1712068"/>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74890" cy="1716279"/>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605BC612">
            <wp:extent cx="5760720" cy="1673157"/>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74517" cy="1677164"/>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78802879" w:rsidR="00EB0BD5"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AA3F9FF" w:rsidR="00962DCC" w:rsidRDefault="00A426F8" w:rsidP="00AB78DB">
      <w:r>
        <w:t xml:space="preserve">A Figura 4 apresenta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521A96AE" w:rsidR="00E73459" w:rsidRDefault="00E73459" w:rsidP="00AB78DB">
      <w:r>
        <w:tab/>
        <w:t xml:space="preserve">A Figura 4(a) apresenta a distribuição acumulada do total de linha de código. </w:t>
      </w:r>
      <w:r w:rsidR="004D22CB">
        <w:t>A figura mostra que não há</w:t>
      </w:r>
      <w:r w:rsidR="006373D9">
        <w:t xml:space="preserve"> diferenças significante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t>.</w:t>
      </w:r>
      <w:r w:rsidRPr="002C31F5">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13EAA3AD" w:rsidR="00A04EC0" w:rsidRDefault="00A04EC0" w:rsidP="0000176D">
      <w:r>
        <w:t>Esta seção apresenta</w:t>
      </w:r>
      <w:r w:rsidR="00067D7B">
        <w:t xml:space="preserve"> </w:t>
      </w:r>
      <w:r>
        <w:t>uma análise dos resultados</w:t>
      </w:r>
      <w:r w:rsidR="001D00AF">
        <w:t xml:space="preserve"> de qualidade de código fonte</w:t>
      </w:r>
      <w:r>
        <w:t xml:space="preserve"> </w:t>
      </w:r>
      <w:r w:rsidR="001D00AF">
        <w:t>das métricas coletadas</w:t>
      </w:r>
      <w:r>
        <w:t xml:space="preserve">. </w:t>
      </w:r>
      <w:r w:rsidR="001D00AF">
        <w:t xml:space="preserve">Foram apresentadas 15 métricas, onde em 60% dos resultados das classes foram semelhantes. Levando em consideração a métrica onde os resultados das classes não foram semelhantes, a classe de navegadores focados em privacidade apresentou os melhores resultados em </w:t>
      </w:r>
      <w:r w:rsidR="008773EA">
        <w:t>5 das 6 métricas analisadas. Destas 6 métricas em todas a classe de navegadores tradicionais apresentou os piores resultados.</w:t>
      </w:r>
    </w:p>
    <w:p w14:paraId="67A260FC" w14:textId="0646703D" w:rsidR="003305F1" w:rsidRDefault="008773EA" w:rsidP="0000176D">
      <w:r>
        <w:tab/>
        <w:t>Conforme mencionado a classe de navegador que apresentou os melhores resultado foi a classe de navegadores focados em privacidade.</w:t>
      </w:r>
      <w:r w:rsidR="003305F1">
        <w:t xml:space="preserve"> A primeira métrica na qual os navegadores focados em privacidade apresentam o melhor resultado foi a RFC. Essa métrica mede a complexidade de uma classe, que aumenta proporcionalmente ao valor do RFC. A próxima métrica, onde a classe de privacidade obteve os melhores valores foi na WMC. Nessa métrica obtém-se o valor para a complexidade dos métodos de um sistema, assim como uma medida de tamanho da classe.</w:t>
      </w:r>
      <w:r w:rsidR="00A11FCA">
        <w:t xml:space="preserve"> </w:t>
      </w:r>
      <w:r w:rsidR="00CE0910">
        <w:t xml:space="preserve">A métrica DIT foi outra na qual esta classe de navegadores apresentou o melhor resultado. Essa métrica </w:t>
      </w:r>
      <w:r w:rsidR="00CE0910">
        <w:t>mede o comprimento da árvore de herança da raiz até o nó folha de maior tamanho. Pode-se considerar que, quanto maior o valor de DIT, maior será a dificuldade de prever o comportamento das classes herdeiras e maior será complexidade do sistema</w:t>
      </w:r>
      <w:r w:rsidR="00CE0910">
        <w:t xml:space="preserve">. Por último a métrica CBO </w:t>
      </w:r>
      <w:r w:rsidR="00CE0910">
        <w:t>avalia o acoplamento de uma classe, onde uma classe A está acoplada a uma classe B quando a classe A utiliza métodos ou variáveis da classe B</w:t>
      </w:r>
      <w:r w:rsidR="00CE0910">
        <w:t>.</w:t>
      </w:r>
    </w:p>
    <w:p w14:paraId="2B95E290" w14:textId="5B6F8B65" w:rsidR="008773EA" w:rsidRDefault="008773EA" w:rsidP="0000176D">
      <w:r>
        <w:t xml:space="preserve"> </w:t>
      </w:r>
      <w:r w:rsidR="003305F1">
        <w:tab/>
      </w:r>
      <w:r>
        <w:t xml:space="preserve">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w:t>
      </w:r>
      <w:r w:rsidR="00D957B6">
        <w:lastRenderedPageBreak/>
        <w:t>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de apresentar o pior resultado, os resultados não são ruins,</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5B83B0E2"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r w:rsidR="00067D7B">
        <w:t xml:space="preserve"> e obter-se uma conclusão sobre a qualidade de código fonte</w:t>
      </w:r>
      <w:r w:rsidR="007A12C3">
        <w:t>.</w:t>
      </w:r>
    </w:p>
    <w:p w14:paraId="310EDBAF" w14:textId="722BB125" w:rsidR="00AD19C9" w:rsidRDefault="00AD19C9" w:rsidP="007A12C3">
      <w:r>
        <w:lastRenderedPageBreak/>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privacidade. Apesar da classe de segurança não ser o que apresenta os melhores resultados</w:t>
      </w:r>
      <w:r w:rsidR="002055C0">
        <w:t>,</w:t>
      </w:r>
      <w:r w:rsidR="00896816">
        <w:t xml:space="preserve"> foi possível observar que o mesmo apresentou bons resultados.</w:t>
      </w:r>
    </w:p>
    <w:p w14:paraId="1322DCCD" w14:textId="7A4FA56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GITHUB </w:t>
      </w:r>
      <w:r w:rsidR="0004335D">
        <w:t>&lt;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5" w:name="_1t3h5sf" w:colFirst="0" w:colLast="0"/>
      <w:bookmarkEnd w:id="5"/>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TANENBAUM, A. S. Re</w:t>
      </w:r>
      <w:bookmarkStart w:id="6" w:name="_GoBack"/>
      <w:bookmarkEnd w:id="6"/>
      <w:r w:rsidRPr="00947E58">
        <w:t xml:space="preserv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A4EDA" w14:textId="77777777" w:rsidR="00A36198" w:rsidRDefault="00A36198">
      <w:pPr>
        <w:spacing w:before="0"/>
      </w:pPr>
      <w:r>
        <w:separator/>
      </w:r>
    </w:p>
  </w:endnote>
  <w:endnote w:type="continuationSeparator" w:id="0">
    <w:p w14:paraId="65D1B0A1" w14:textId="77777777" w:rsidR="00A36198" w:rsidRDefault="00A361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3305F1" w:rsidRPr="0067168E" w:rsidRDefault="003305F1">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3305F1" w:rsidRPr="0067168E" w:rsidRDefault="003305F1">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070F" w14:textId="77777777" w:rsidR="00A36198" w:rsidRDefault="00A36198">
      <w:pPr>
        <w:spacing w:before="0"/>
      </w:pPr>
      <w:r>
        <w:separator/>
      </w:r>
    </w:p>
  </w:footnote>
  <w:footnote w:type="continuationSeparator" w:id="0">
    <w:p w14:paraId="7682098A" w14:textId="77777777" w:rsidR="00A36198" w:rsidRDefault="00A3619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3305F1" w:rsidRDefault="003305F1">
    <w:r>
      <w:fldChar w:fldCharType="begin"/>
    </w:r>
    <w:r>
      <w:instrText>PAGE</w:instrText>
    </w:r>
    <w:r>
      <w:fldChar w:fldCharType="end"/>
    </w:r>
  </w:p>
  <w:p w14:paraId="5AC09D02" w14:textId="77777777" w:rsidR="003305F1" w:rsidRDefault="003305F1">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3305F1" w:rsidRDefault="003305F1"/>
  <w:p w14:paraId="714A3AD2" w14:textId="77777777" w:rsidR="003305F1" w:rsidRDefault="003305F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7D7B"/>
    <w:rsid w:val="00072DD7"/>
    <w:rsid w:val="00072F81"/>
    <w:rsid w:val="000753AB"/>
    <w:rsid w:val="00081006"/>
    <w:rsid w:val="000827F6"/>
    <w:rsid w:val="00087863"/>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55689"/>
    <w:rsid w:val="001653FE"/>
    <w:rsid w:val="001656BA"/>
    <w:rsid w:val="0016712F"/>
    <w:rsid w:val="00172CD5"/>
    <w:rsid w:val="0017468E"/>
    <w:rsid w:val="00174DCA"/>
    <w:rsid w:val="001807F4"/>
    <w:rsid w:val="001819BB"/>
    <w:rsid w:val="00185641"/>
    <w:rsid w:val="00185EB6"/>
    <w:rsid w:val="0019363D"/>
    <w:rsid w:val="001939AC"/>
    <w:rsid w:val="001A36C2"/>
    <w:rsid w:val="001B5A75"/>
    <w:rsid w:val="001C0E16"/>
    <w:rsid w:val="001C3E9B"/>
    <w:rsid w:val="001D00AF"/>
    <w:rsid w:val="001D2273"/>
    <w:rsid w:val="001D448E"/>
    <w:rsid w:val="001D6E02"/>
    <w:rsid w:val="001E2E16"/>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5F1"/>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E1B3F"/>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0F32"/>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CDA"/>
    <w:rsid w:val="00510724"/>
    <w:rsid w:val="005148AD"/>
    <w:rsid w:val="00515097"/>
    <w:rsid w:val="0053247C"/>
    <w:rsid w:val="00533878"/>
    <w:rsid w:val="00551B8C"/>
    <w:rsid w:val="00553478"/>
    <w:rsid w:val="00556C9C"/>
    <w:rsid w:val="0056248D"/>
    <w:rsid w:val="00566EA2"/>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F52"/>
    <w:rsid w:val="005C2A29"/>
    <w:rsid w:val="005C6B54"/>
    <w:rsid w:val="005D04A4"/>
    <w:rsid w:val="005D0A8B"/>
    <w:rsid w:val="005D3D40"/>
    <w:rsid w:val="005D4050"/>
    <w:rsid w:val="005D52C6"/>
    <w:rsid w:val="005D5F43"/>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373D9"/>
    <w:rsid w:val="00640825"/>
    <w:rsid w:val="0064363B"/>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C4C3F"/>
    <w:rsid w:val="006D15A3"/>
    <w:rsid w:val="006D2571"/>
    <w:rsid w:val="006D3F8A"/>
    <w:rsid w:val="006D5703"/>
    <w:rsid w:val="006E76CC"/>
    <w:rsid w:val="006F2596"/>
    <w:rsid w:val="006F69D8"/>
    <w:rsid w:val="007058EC"/>
    <w:rsid w:val="0071018D"/>
    <w:rsid w:val="007118A7"/>
    <w:rsid w:val="0071341B"/>
    <w:rsid w:val="00715994"/>
    <w:rsid w:val="0071603F"/>
    <w:rsid w:val="00720F25"/>
    <w:rsid w:val="00721609"/>
    <w:rsid w:val="00722C9D"/>
    <w:rsid w:val="00724CA7"/>
    <w:rsid w:val="00727619"/>
    <w:rsid w:val="00731FFD"/>
    <w:rsid w:val="00734154"/>
    <w:rsid w:val="0073747E"/>
    <w:rsid w:val="00742A0C"/>
    <w:rsid w:val="00752CAB"/>
    <w:rsid w:val="00755257"/>
    <w:rsid w:val="00755CA3"/>
    <w:rsid w:val="0076503E"/>
    <w:rsid w:val="00765FE7"/>
    <w:rsid w:val="0076798A"/>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2EF4"/>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61E80"/>
    <w:rsid w:val="008728CC"/>
    <w:rsid w:val="00873462"/>
    <w:rsid w:val="008773EA"/>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1FCA"/>
    <w:rsid w:val="00A146CA"/>
    <w:rsid w:val="00A21791"/>
    <w:rsid w:val="00A217A9"/>
    <w:rsid w:val="00A26421"/>
    <w:rsid w:val="00A26AB0"/>
    <w:rsid w:val="00A320C0"/>
    <w:rsid w:val="00A36198"/>
    <w:rsid w:val="00A364D3"/>
    <w:rsid w:val="00A426F8"/>
    <w:rsid w:val="00A52127"/>
    <w:rsid w:val="00A52446"/>
    <w:rsid w:val="00A52E45"/>
    <w:rsid w:val="00A653F5"/>
    <w:rsid w:val="00A74084"/>
    <w:rsid w:val="00A74C1E"/>
    <w:rsid w:val="00A75ACA"/>
    <w:rsid w:val="00A76DD3"/>
    <w:rsid w:val="00A803E3"/>
    <w:rsid w:val="00A86C60"/>
    <w:rsid w:val="00AA5E9E"/>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4631"/>
    <w:rsid w:val="00B23E6A"/>
    <w:rsid w:val="00B24771"/>
    <w:rsid w:val="00B272F3"/>
    <w:rsid w:val="00B27F0C"/>
    <w:rsid w:val="00B32EFE"/>
    <w:rsid w:val="00B33156"/>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3C6"/>
    <w:rsid w:val="00C413E1"/>
    <w:rsid w:val="00C45E6C"/>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910"/>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57B6"/>
    <w:rsid w:val="00D96C34"/>
    <w:rsid w:val="00D96EC4"/>
    <w:rsid w:val="00D9756D"/>
    <w:rsid w:val="00D97B4C"/>
    <w:rsid w:val="00DB220A"/>
    <w:rsid w:val="00DB508B"/>
    <w:rsid w:val="00DB5805"/>
    <w:rsid w:val="00DC0C2C"/>
    <w:rsid w:val="00DC2DAB"/>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4798"/>
    <w:rsid w:val="00F104C7"/>
    <w:rsid w:val="00F2036C"/>
    <w:rsid w:val="00F23462"/>
    <w:rsid w:val="00F32CD4"/>
    <w:rsid w:val="00F33193"/>
    <w:rsid w:val="00F40F25"/>
    <w:rsid w:val="00F52149"/>
    <w:rsid w:val="00F54041"/>
    <w:rsid w:val="00F56276"/>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294B"/>
    <w:rsid w:val="00FE38A8"/>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8D39-3067-4E53-A02A-67506907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8489</TotalTime>
  <Pages>1</Pages>
  <Words>7634</Words>
  <Characters>41227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381</cp:revision>
  <cp:lastPrinted>2019-11-15T15:20:00Z</cp:lastPrinted>
  <dcterms:created xsi:type="dcterms:W3CDTF">2019-09-06T13:53:00Z</dcterms:created>
  <dcterms:modified xsi:type="dcterms:W3CDTF">2019-11-15T15:21:00Z</dcterms:modified>
</cp:coreProperties>
</file>