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bookmarkStart w:id="0" w:name="_gjdgxs" w:colFirst="0" w:colLast="0"/>
      <w:bookmarkEnd w:id="0"/>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Default="00C15F26" w:rsidP="00873462">
      <w:pPr>
        <w:pStyle w:val="Ttulo3"/>
      </w:pPr>
      <w:bookmarkStart w:id="1" w:name="_30j0zll" w:colFirst="0" w:colLast="0"/>
      <w:bookmarkEnd w:id="1"/>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Default="00C15F26" w:rsidP="00873462">
      <w:pPr>
        <w:pStyle w:val="Ttulo3"/>
      </w:pPr>
      <w:bookmarkStart w:id="2" w:name="_1fob9te" w:colFirst="0" w:colLast="0"/>
      <w:bookmarkEnd w:id="2"/>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Default="00C15F26" w:rsidP="00873462">
      <w:pPr>
        <w:pStyle w:val="Ttulo3"/>
      </w:pPr>
      <w:bookmarkStart w:id="3" w:name="_3znysh7" w:colFirst="0" w:colLast="0"/>
      <w:bookmarkEnd w:id="3"/>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4" w:name="_2et92p0" w:colFirst="0" w:colLast="0"/>
      <w:bookmarkEnd w:id="4"/>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5" w:name="_tyjcwt" w:colFirst="0" w:colLast="0"/>
      <w:bookmarkEnd w:id="5"/>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r>
              <w:rPr>
                <w:i/>
              </w:rPr>
              <w:t>Coupling Between Objects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r>
              <w:rPr>
                <w:i/>
              </w:rPr>
              <w:t>Coupling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Default="00C15F26">
            <w:pPr>
              <w:spacing w:after="120"/>
              <w:ind w:right="460"/>
              <w:jc w:val="left"/>
            </w:pPr>
            <w:r>
              <w:t xml:space="preserve">Métrica de </w:t>
            </w:r>
            <w:r w:rsidR="004F5BC1">
              <w:t>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r>
              <w:rPr>
                <w:i/>
              </w:rPr>
              <w:t>Number Of Children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RFC - Response For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LOC - Lines Of Code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pacote - </w:t>
            </w:r>
            <w:r w:rsidRPr="0067168E">
              <w:rPr>
                <w:i/>
                <w:lang w:val="en-US"/>
              </w:rPr>
              <w:t>Lines Of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linguagem - </w:t>
            </w:r>
            <w:r w:rsidRPr="0067168E">
              <w:rPr>
                <w:i/>
                <w:lang w:val="en-US"/>
              </w:rPr>
              <w:t>Lines Of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r>
              <w:rPr>
                <w:i/>
              </w:rPr>
              <w:t>Attribute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r>
              <w:rPr>
                <w:i/>
              </w:rPr>
              <w:t>Attribute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r>
              <w:rPr>
                <w:i/>
              </w:rPr>
              <w:t>Method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r>
              <w:rPr>
                <w:i/>
              </w:rPr>
              <w:t>Method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r>
              <w:rPr>
                <w:i/>
              </w:rPr>
              <w:t>Polymorphism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4F0FA2">
            <w:pPr>
              <w:widowControl w:val="0"/>
              <w:spacing w:before="0"/>
              <w:jc w:val="left"/>
            </w:pPr>
            <w:hyperlink r:id="rId12"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r>
              <w:t>Lightning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r>
              <w:rPr>
                <w:i/>
              </w:rPr>
              <w:t>Midori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r>
              <w:t>Zirco</w:t>
            </w:r>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r>
              <w:t>Chromium</w:t>
            </w:r>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r>
              <w:t>Lucid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r>
              <w:t>Pale Moon</w:t>
            </w:r>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r>
              <w:lastRenderedPageBreak/>
              <w:t>JumpGo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4F0FA2">
            <w:pPr>
              <w:widowControl w:val="0"/>
              <w:spacing w:before="0"/>
              <w:jc w:val="left"/>
            </w:pPr>
            <w:hyperlink r:id="rId13"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r>
              <w:t>Lynket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r>
              <w:t xml:space="preserve">Privacy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4F0FA2">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r>
              <w:t>Tor-Browser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4F0FA2">
            <w:pPr>
              <w:widowControl w:val="0"/>
              <w:spacing w:before="0"/>
              <w:jc w:val="left"/>
              <w:rPr>
                <w:rFonts w:ascii="Times New Roman" w:eastAsia="Times New Roman" w:hAnsi="Times New Roman" w:cs="Times New Roman"/>
                <w:sz w:val="22"/>
                <w:szCs w:val="22"/>
              </w:rPr>
            </w:pPr>
            <w:hyperlink r:id="rId15"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r>
              <w:t>IceCatMobile</w:t>
            </w:r>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r>
              <w:t>Waterfox</w:t>
            </w:r>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r>
              <w:t>Yuzu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r>
              <w:t>Cliqz</w:t>
            </w:r>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r>
              <w:t>Fennec F-Droid</w:t>
            </w:r>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r>
              <w:t>Ungoogled Chromium</w:t>
            </w:r>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Firefox Nightly</w:t>
            </w:r>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r>
              <w:t>Iridium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4F0FA2">
            <w:pPr>
              <w:widowControl w:val="0"/>
              <w:spacing w:before="0"/>
              <w:jc w:val="left"/>
            </w:pPr>
            <w:hyperlink r:id="rId16"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Kiwi Browser - Fast &amp; Quiet</w:t>
            </w:r>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r>
              <w:t>Orfox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w:t>
            </w:r>
            <w:r>
              <w:lastRenderedPageBreak/>
              <w:t>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r>
              <w:lastRenderedPageBreak/>
              <w:t>Brave</w:t>
            </w:r>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r>
              <w:t>Ducky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4F0FA2">
            <w:pPr>
              <w:widowControl w:val="0"/>
              <w:spacing w:before="0"/>
              <w:jc w:val="left"/>
            </w:pPr>
            <w:hyperlink r:id="rId17"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lastRenderedPageBreak/>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t xml:space="preserve">5.1. </w:t>
      </w:r>
      <w:r w:rsidR="006937F4">
        <w:t>Correlação</w:t>
      </w:r>
    </w:p>
    <w:p w14:paraId="0D25C0D5" w14:textId="1D63003B" w:rsidR="00B816FA" w:rsidRDefault="00B816FA" w:rsidP="00B816FA">
      <w:r>
        <w:t>A Tabela 1, apresenta os resultados da média e o desvio padrão das correlações das métricas. 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L(Groovy)</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r w:rsidR="005F1827" w:rsidRPr="005F1827">
              <w:rPr>
                <w:color w:val="000000"/>
                <w:sz w:val="20"/>
                <w:szCs w:val="20"/>
              </w:rPr>
              <w:t>Kotlin</w:t>
            </w:r>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aculativa. Na categoria de tamanho, as métricas </w:t>
      </w:r>
      <w:r w:rsidR="00330C5F" w:rsidRPr="00330C5F">
        <w:rPr>
          <w:i/>
          <w:iCs/>
        </w:rPr>
        <w:t>Line Of Code</w:t>
      </w:r>
      <w:r w:rsidR="00330C5F">
        <w:t xml:space="preserve"> (LOC) e </w:t>
      </w:r>
      <w:r w:rsidR="005F1827" w:rsidRPr="00330C5F">
        <w:rPr>
          <w:i/>
          <w:iCs/>
        </w:rPr>
        <w:t>Line Of Code</w:t>
      </w:r>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r w:rsidR="00202A78" w:rsidRPr="00202A78">
        <w:rPr>
          <w:i/>
          <w:iCs/>
        </w:rPr>
        <w:t>Coupling Factor</w:t>
      </w:r>
      <w:r w:rsidR="00202A78" w:rsidRPr="00202A78">
        <w:t xml:space="preserve"> (CF)</w:t>
      </w:r>
      <w:r w:rsidR="00FA0423">
        <w:t xml:space="preserve"> </w:t>
      </w:r>
      <w:r w:rsidR="007C4F72">
        <w:t xml:space="preserve">e </w:t>
      </w:r>
      <w:r w:rsidR="00202A78" w:rsidRPr="00202A78">
        <w:rPr>
          <w:i/>
          <w:iCs/>
        </w:rPr>
        <w:t xml:space="preserve">Coupling Between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r w:rsidR="00202A78" w:rsidRPr="00202A78">
        <w:rPr>
          <w:i/>
          <w:iCs/>
        </w:rPr>
        <w:t xml:space="preserve">Polymorphism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métricas  de acoplamento, pois ambas as métricas são correlacionadas com outras métricas.</w:t>
      </w:r>
    </w:p>
    <w:p w14:paraId="0DB3C13D" w14:textId="3A867A66" w:rsidR="00873462" w:rsidRPr="00655098" w:rsidRDefault="00873462" w:rsidP="00655098">
      <w:pPr>
        <w:pStyle w:val="Ttulo3"/>
      </w:pPr>
      <w:r w:rsidRPr="00655098">
        <w:lastRenderedPageBreak/>
        <w:t>5.</w:t>
      </w:r>
      <w:r w:rsidR="00655098" w:rsidRPr="00655098">
        <w:t>2. Distribuição Acumulativa</w:t>
      </w:r>
    </w:p>
    <w:p w14:paraId="3342C447" w14:textId="2AC21A69" w:rsidR="00460EC3" w:rsidRDefault="00460EC3" w:rsidP="00491C34">
      <w:r>
        <w:t xml:space="preserve">Nesta subseção são apresentados os gráficos gerados da distribuição </w:t>
      </w:r>
      <w:r w:rsidR="0057248B">
        <w:t>acumulativa</w:t>
      </w:r>
      <w:r>
        <w:t xml:space="preserve"> das métricas coletada</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r w:rsidR="00D12875" w:rsidRPr="00D12875">
        <w:rPr>
          <w:i/>
          <w:iCs/>
        </w:rPr>
        <w:t>Attribute Hiding Factor</w:t>
      </w:r>
      <w:r w:rsidR="00D12875">
        <w:rPr>
          <w:i/>
          <w:iCs/>
        </w:rPr>
        <w:t xml:space="preserve"> </w:t>
      </w:r>
      <w:r w:rsidR="00D12875">
        <w:t xml:space="preserve">(AHF) e </w:t>
      </w:r>
      <w:r w:rsidR="00D12875" w:rsidRPr="00D12875">
        <w:rPr>
          <w:i/>
          <w:iCs/>
        </w:rPr>
        <w:t>Attribute Inheritance Factor</w:t>
      </w:r>
      <w:r w:rsidR="00D12875">
        <w:rPr>
          <w:i/>
          <w:iCs/>
        </w:rPr>
        <w:t xml:space="preserve"> </w:t>
      </w:r>
      <w:r w:rsidR="00D12875">
        <w:t>(AIF)</w:t>
      </w:r>
      <w:r w:rsidR="00FC07B7">
        <w:t>.</w:t>
      </w:r>
    </w:p>
    <w:p w14:paraId="2A8152E2" w14:textId="320610A7" w:rsidR="005877BD" w:rsidRDefault="00272F49" w:rsidP="00491C34">
      <w:r>
        <w:rPr>
          <w:noProof/>
        </w:rPr>
        <w:drawing>
          <wp:inline distT="0" distB="0" distL="0" distR="0" wp14:anchorId="2DB9B082" wp14:editId="5FD93E23">
            <wp:extent cx="5760720" cy="28835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njunt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12875" w:rsidRPr="00D12875">
        <w:rPr>
          <w:i/>
          <w:iCs/>
          <w:sz w:val="20"/>
          <w:szCs w:val="20"/>
        </w:rPr>
        <w:t>Attribute Hiding Factor</w:t>
      </w:r>
      <w:r w:rsidR="00D12875" w:rsidRPr="00D12875">
        <w:rPr>
          <w:sz w:val="20"/>
          <w:szCs w:val="20"/>
        </w:rPr>
        <w:t xml:space="preserve"> (AHF) e </w:t>
      </w:r>
      <w:r w:rsidR="00D12875" w:rsidRPr="00D12875">
        <w:rPr>
          <w:i/>
          <w:iCs/>
          <w:sz w:val="20"/>
          <w:szCs w:val="20"/>
        </w:rPr>
        <w:t>Attribute Inheritance Factor</w:t>
      </w:r>
      <w:r w:rsidR="00D12875" w:rsidRPr="00D12875">
        <w:rPr>
          <w:sz w:val="20"/>
          <w:szCs w:val="20"/>
        </w:rPr>
        <w:t xml:space="preserve"> (AIF)</w:t>
      </w:r>
    </w:p>
    <w:p w14:paraId="28601146" w14:textId="77777777" w:rsidR="00241A13" w:rsidRDefault="00BC0494" w:rsidP="00D12875">
      <w:r>
        <w:tab/>
      </w:r>
      <w:r w:rsidR="00533878">
        <w:t xml:space="preserve">A Figura 1, apresenta os dois primeiros gráficos das métricas </w:t>
      </w:r>
      <w:r w:rsidR="00D9756D">
        <w:t>estruturais</w:t>
      </w:r>
      <w:r w:rsidR="00533878">
        <w:t xml:space="preserve">. A Figura </w:t>
      </w:r>
      <w:r w:rsidR="006B7896">
        <w:t>1</w:t>
      </w:r>
      <w:r w:rsidR="00533878">
        <w:t xml:space="preserve">(a) apresenta os resultados </w:t>
      </w:r>
      <w:r w:rsidR="00484D7D">
        <w:t xml:space="preserve">da métrica AHF, onde pode-se verificar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D12875">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r w:rsidR="005F331D" w:rsidRPr="005F331D">
        <w:rPr>
          <w:i/>
          <w:iCs/>
        </w:rPr>
        <w:t>private</w:t>
      </w:r>
      <w:r w:rsidR="005F331D">
        <w:t>.</w:t>
      </w:r>
    </w:p>
    <w:p w14:paraId="4872CE77" w14:textId="418676D2" w:rsidR="00F52149"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w:t>
      </w:r>
      <w:r w:rsidR="002A5CD6">
        <w:lastRenderedPageBreak/>
        <w:t xml:space="preserve">concentrados em até quarenta por cento, inicia-se em um valor próximo a quarenta, chegando a um valor próximo a oitenta. </w:t>
      </w:r>
    </w:p>
    <w:p w14:paraId="1BA223D6" w14:textId="6FDA5437" w:rsidR="008276EC" w:rsidRDefault="00F52149" w:rsidP="00D12875">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D12875">
      <w:r>
        <w:tab/>
      </w:r>
      <w:r w:rsidR="00FE38A8">
        <w:t>Na Figura 2 são</w:t>
      </w:r>
      <w:r>
        <w:t xml:space="preserve"> apresentados os gráficos das métricas de </w:t>
      </w:r>
      <w:r w:rsidRPr="00592C0B">
        <w:rPr>
          <w:i/>
          <w:iCs/>
        </w:rPr>
        <w:t>Method Hiding Factor</w:t>
      </w:r>
      <w:r w:rsidRPr="00592C0B">
        <w:t xml:space="preserve"> (MHF)</w:t>
      </w:r>
      <w:r w:rsidR="00FC23EC">
        <w:t xml:space="preserve"> e </w:t>
      </w:r>
      <w:r w:rsidR="00FC23EC" w:rsidRPr="00FC23EC">
        <w:rPr>
          <w:i/>
          <w:iCs/>
        </w:rPr>
        <w:t>Method Inheritance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4DE8E4F1" w:rsidR="00592C0B" w:rsidRDefault="00272F49" w:rsidP="00D12875">
      <w:r>
        <w:rPr>
          <w:noProof/>
        </w:rPr>
        <w:drawing>
          <wp:inline distT="0" distB="0" distL="0" distR="0" wp14:anchorId="7AA3C611" wp14:editId="1B8AF61B">
            <wp:extent cx="5760720" cy="2883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Conjun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r w:rsidR="00D21B6C" w:rsidRPr="00D21B6C">
        <w:rPr>
          <w:i/>
          <w:iCs/>
          <w:sz w:val="20"/>
          <w:szCs w:val="20"/>
        </w:rPr>
        <w:t>Method Hiding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r w:rsidRPr="00D21B6C">
        <w:rPr>
          <w:i/>
          <w:iCs/>
          <w:sz w:val="20"/>
          <w:szCs w:val="20"/>
        </w:rPr>
        <w:t>Method Inheritance Factor</w:t>
      </w:r>
      <w:r w:rsidRPr="00D21B6C">
        <w:rPr>
          <w:sz w:val="20"/>
          <w:szCs w:val="20"/>
        </w:rPr>
        <w:t xml:space="preserve"> (MIF)</w:t>
      </w:r>
    </w:p>
    <w:p w14:paraId="7DF75ED7" w14:textId="3BD3D9DB" w:rsidR="006D15A3" w:rsidRDefault="00B23E6A" w:rsidP="00D12875">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4043D0A5" w:rsidR="00F40F25" w:rsidRDefault="00F40F25" w:rsidP="00D12875">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w:t>
      </w:r>
      <w:r w:rsidR="00F54041">
        <w:lastRenderedPageBreak/>
        <w:t xml:space="preserve">métrica superior a vinte. </w:t>
      </w:r>
      <w:r w:rsidR="002B6419">
        <w:t xml:space="preserve">A classe de navegadores focados em privacidade apresentou uma menor distribuição dos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1F223F0" w:rsidR="00246EB3" w:rsidRDefault="00C01DA3" w:rsidP="00D12875">
      <w:r>
        <w:tab/>
        <w:t xml:space="preserve">A Figura 3, apresentada a seguir, é responsável por apresentar as métricas </w:t>
      </w:r>
      <w:r w:rsidRPr="00C01DA3">
        <w:rPr>
          <w:i/>
          <w:iCs/>
        </w:rPr>
        <w:t>Depth of Inheritance Tree</w:t>
      </w:r>
      <w:r>
        <w:t xml:space="preserve"> (DIT) e </w:t>
      </w:r>
      <w:r w:rsidRPr="00C01DA3">
        <w:rPr>
          <w:i/>
          <w:iCs/>
        </w:rPr>
        <w:t>Number Of Children</w:t>
      </w:r>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o valor até dois é considerado como um bom resultado, já quando os resultados atingem o valor entre dois e quatro é considerado como regular, a cima de quatro é considerado um valor ruim. A métrica NOC apresenta o número de filhos de uma classe, a medida que esta métrica aumenta, a quantidade de testes também aumentará.</w:t>
      </w:r>
    </w:p>
    <w:p w14:paraId="01598987" w14:textId="7C0DB275" w:rsidR="006B420B" w:rsidRDefault="004F0FA2" w:rsidP="00D12875">
      <w:r>
        <w:rPr>
          <w:noProof/>
        </w:rPr>
        <w:drawing>
          <wp:inline distT="0" distB="0" distL="0" distR="0" wp14:anchorId="34841A35" wp14:editId="35142ED5">
            <wp:extent cx="5760720" cy="28835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Conjunt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44509F60" w14:textId="42CD3E9F" w:rsidR="00040406" w:rsidRDefault="00040406" w:rsidP="00040406">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040406">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r w:rsidRPr="00040406">
        <w:rPr>
          <w:i/>
          <w:iCs/>
          <w:sz w:val="20"/>
          <w:szCs w:val="20"/>
        </w:rPr>
        <w:t>Depth of Inheritance Tree</w:t>
      </w:r>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040406">
      <w:pPr>
        <w:jc w:val="center"/>
      </w:pPr>
      <w:r w:rsidRPr="00040406">
        <w:rPr>
          <w:i/>
          <w:iCs/>
          <w:sz w:val="20"/>
          <w:szCs w:val="20"/>
        </w:rPr>
        <w:t>Number Of Children</w:t>
      </w:r>
      <w:r w:rsidRPr="00D21B6C">
        <w:rPr>
          <w:sz w:val="20"/>
          <w:szCs w:val="20"/>
        </w:rPr>
        <w:t xml:space="preserve"> (</w:t>
      </w:r>
      <w:r>
        <w:rPr>
          <w:sz w:val="20"/>
          <w:szCs w:val="20"/>
        </w:rPr>
        <w:t>NOC</w:t>
      </w:r>
      <w:r w:rsidRPr="00D21B6C">
        <w:rPr>
          <w:sz w:val="20"/>
          <w:szCs w:val="20"/>
        </w:rPr>
        <w:t>)</w:t>
      </w:r>
    </w:p>
    <w:p w14:paraId="1EA12BF8" w14:textId="59F55C95" w:rsidR="00E53591" w:rsidRPr="00E53591" w:rsidRDefault="00040406" w:rsidP="00D12875">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classe  </w:t>
      </w:r>
      <w:r w:rsidR="00821CE7">
        <w:t>tradicional</w:t>
      </w:r>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D12875">
      <w:r>
        <w:tab/>
        <w:t xml:space="preserve">As últimas métricas estruturais a serem apresentadas na Figura 4 são </w:t>
      </w:r>
      <w:r w:rsidRPr="005B766B">
        <w:rPr>
          <w:i/>
          <w:iCs/>
        </w:rPr>
        <w:t>Response For a Class</w:t>
      </w:r>
      <w:r>
        <w:t xml:space="preserve"> (RFC) e </w:t>
      </w:r>
      <w:r w:rsidRPr="005B766B">
        <w:rPr>
          <w:i/>
          <w:iCs/>
        </w:rPr>
        <w:t>Weighted Methods per Class</w:t>
      </w:r>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 xml:space="preserve">A </w:t>
      </w:r>
      <w:r w:rsidR="00932125" w:rsidRPr="00932125">
        <w:lastRenderedPageBreak/>
        <w:t>métrica WMC é também uma medida ponderada do tamanho da classe. Valores altos indicam que uma classe pode ter muita responsabilidade. Isso reduzirá a reutilização da classe e complicará a implementação e o teste.</w:t>
      </w:r>
    </w:p>
    <w:p w14:paraId="778DEFE8" w14:textId="067DDFB9" w:rsidR="00932125" w:rsidRDefault="00EB0BD5" w:rsidP="00D12875">
      <w:r>
        <w:rPr>
          <w:noProof/>
        </w:rPr>
        <w:drawing>
          <wp:inline distT="0" distB="0" distL="0" distR="0" wp14:anchorId="25FC6F63" wp14:editId="7F67E134">
            <wp:extent cx="5760720" cy="28835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_Conjunt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76B8627E" w14:textId="35C6956D" w:rsidR="00EB0BD5" w:rsidRDefault="00EB0BD5" w:rsidP="00EB0BD5">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EB0BD5">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Response For a Class</w:t>
      </w:r>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EB0BD5">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16168063" w:rsidR="00EB0BD5" w:rsidRDefault="00C17D1D" w:rsidP="00D12875">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os valores iniciais até um valor próximo à vinte e cinco possuem cerca de 40% da distribuição. A classe tradicional apresenta valores próximos a sessenta nesta métrica, sendo a que apresenta maiores valores para esta métrica.</w:t>
      </w:r>
      <w:r w:rsidR="00E937C2">
        <w:t xml:space="preserve"> A classe dos navegadores focados em privacidade são os que apresentaram menores resultados.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D12875">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D12875"/>
    <w:p w14:paraId="6511A581" w14:textId="07AB1B2D" w:rsidR="000104CB" w:rsidRPr="004F5BC1" w:rsidRDefault="000F78F7" w:rsidP="004F5BC1">
      <w:pPr>
        <w:pStyle w:val="Ttulo5"/>
        <w:rPr>
          <w:i/>
          <w:iCs/>
          <w:sz w:val="20"/>
          <w:szCs w:val="20"/>
        </w:rPr>
      </w:pPr>
      <w:r w:rsidRPr="00804176">
        <w:rPr>
          <w:i/>
          <w:iCs/>
          <w:sz w:val="20"/>
          <w:szCs w:val="20"/>
        </w:rPr>
        <w:t>5.2.</w:t>
      </w:r>
      <w:r>
        <w:rPr>
          <w:i/>
          <w:iCs/>
          <w:sz w:val="20"/>
          <w:szCs w:val="20"/>
        </w:rPr>
        <w:t>2</w:t>
      </w:r>
      <w:r w:rsidRPr="00804176">
        <w:rPr>
          <w:i/>
          <w:iCs/>
          <w:sz w:val="20"/>
          <w:szCs w:val="20"/>
        </w:rPr>
        <w:t xml:space="preserve">. Distribuição Acumulativa da Métrica </w:t>
      </w:r>
      <w:r>
        <w:rPr>
          <w:i/>
          <w:iCs/>
          <w:sz w:val="20"/>
          <w:szCs w:val="20"/>
        </w:rPr>
        <w:t xml:space="preserve">de </w:t>
      </w:r>
      <w:r w:rsidR="004F5BC1">
        <w:rPr>
          <w:i/>
          <w:iCs/>
          <w:sz w:val="20"/>
          <w:szCs w:val="20"/>
        </w:rPr>
        <w:t>Coesão</w:t>
      </w:r>
    </w:p>
    <w:p w14:paraId="64247369" w14:textId="140CB9ED" w:rsidR="00EB0BD5" w:rsidRPr="001D6E02" w:rsidRDefault="001D6E02" w:rsidP="001D6E02">
      <w:r>
        <w:t xml:space="preserve">Nesta subseção é apresentado a métrica de coesão </w:t>
      </w:r>
      <w:r w:rsidRPr="001D6E02">
        <w:rPr>
          <w:i/>
          <w:iCs/>
        </w:rPr>
        <w:t>Lack of Cohesion in Methods</w:t>
      </w:r>
      <w:r>
        <w:t xml:space="preserve"> (LCOM), onde está métrica </w:t>
      </w:r>
      <w:r w:rsidRPr="001D6E02">
        <w:t>é o número de métodos que acessam um ou mais dos mesmos atributos.</w:t>
      </w:r>
      <w:r>
        <w:t xml:space="preserve"> </w:t>
      </w:r>
      <w:r w:rsidRPr="001D6E02">
        <w:t>Se LCOM for alto, métodos podem ser acoplados uns aos outros via atributos. Isso aumenta a complexidade do projeto de classe.</w:t>
      </w:r>
      <w:r w:rsidR="00D04C2F">
        <w:t xml:space="preserve"> Os resultados obtidos para esta métrica é apresentado na Figura 5.</w:t>
      </w:r>
    </w:p>
    <w:p w14:paraId="0BA37564" w14:textId="63BFCB58" w:rsidR="00EB0BD5" w:rsidRPr="00C17D1D" w:rsidRDefault="00E846BE" w:rsidP="00551B8C">
      <w:pPr>
        <w:jc w:val="center"/>
      </w:pPr>
      <w:r>
        <w:rPr>
          <w:noProof/>
        </w:rPr>
        <w:lastRenderedPageBreak/>
        <w:drawing>
          <wp:inline distT="0" distB="0" distL="0" distR="0" wp14:anchorId="4FE8E4E8" wp14:editId="1D848C35">
            <wp:extent cx="3600000" cy="3600000"/>
            <wp:effectExtent l="0" t="0" r="635"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LCOM_Media .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B84A52A" w14:textId="3DB702E2" w:rsidR="00EB0BD5" w:rsidRPr="00C17D1D" w:rsidRDefault="00C13975" w:rsidP="00D12875">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C13975">
        <w:rPr>
          <w:i/>
          <w:iCs/>
          <w:sz w:val="20"/>
          <w:szCs w:val="20"/>
        </w:rPr>
        <w:t>Lack of Cohesion in Methods</w:t>
      </w:r>
      <w:r w:rsidRPr="00C13975">
        <w:rPr>
          <w:sz w:val="20"/>
          <w:szCs w:val="20"/>
        </w:rPr>
        <w:t xml:space="preserve"> (LCOM)</w:t>
      </w:r>
    </w:p>
    <w:p w14:paraId="4D0FB8D5" w14:textId="69B9A471" w:rsidR="00EB0BD5" w:rsidRPr="00C17D1D" w:rsidRDefault="00E846BE" w:rsidP="00D12875">
      <w:r>
        <w:tab/>
        <w:t xml:space="preserve">Neste gráfico pode-se observar que ac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1E2E16" w:rsidRDefault="007C4F72" w:rsidP="001E2E16">
      <w:pPr>
        <w:pStyle w:val="Ttulo5"/>
        <w:rPr>
          <w:i/>
          <w:iCs/>
          <w:sz w:val="18"/>
          <w:szCs w:val="18"/>
        </w:rPr>
      </w:pPr>
      <w:r w:rsidRPr="00804176">
        <w:rPr>
          <w:i/>
          <w:iCs/>
          <w:sz w:val="20"/>
          <w:szCs w:val="20"/>
        </w:rPr>
        <w:t>5.2.</w:t>
      </w:r>
      <w:r w:rsidR="000F78F7">
        <w:rPr>
          <w:i/>
          <w:iCs/>
          <w:sz w:val="20"/>
          <w:szCs w:val="20"/>
        </w:rPr>
        <w:t>3</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r w:rsidR="007C4F72" w:rsidRPr="007C4F72">
        <w:t>Kotlin</w:t>
      </w:r>
      <w:r w:rsidR="007C4F72">
        <w:t xml:space="preserve">, que é uma linguagem de programação da plataforma </w:t>
      </w:r>
      <w:r w:rsidR="007C4F72">
        <w:rPr>
          <w:i/>
          <w:iCs/>
        </w:rPr>
        <w:t>Android</w:t>
      </w:r>
      <w:r w:rsidR="007C4F72">
        <w:t xml:space="preserve">, sendo uma linguagem de </w:t>
      </w:r>
      <w:r w:rsidR="007C4F72" w:rsidRPr="007C4F72">
        <w:rPr>
          <w:i/>
          <w:iCs/>
        </w:rPr>
        <w:t>BackEnd</w:t>
      </w:r>
      <w:r w:rsidR="007C4F72">
        <w:t>.</w:t>
      </w:r>
    </w:p>
    <w:p w14:paraId="37D3A8D6" w14:textId="15C2BA92" w:rsidR="00971D86" w:rsidRDefault="00D0579E" w:rsidP="008D434C">
      <w:pPr>
        <w:jc w:val="center"/>
      </w:pPr>
      <w:r>
        <w:rPr>
          <w:noProof/>
        </w:rPr>
        <w:drawing>
          <wp:inline distT="0" distB="0" distL="0" distR="0" wp14:anchorId="6A7C3C04" wp14:editId="085ECACF">
            <wp:extent cx="3599815" cy="2695575"/>
            <wp:effectExtent l="0" t="0" r="63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L_KT .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00007" cy="2695719"/>
                    </a:xfrm>
                    <a:prstGeom prst="rect">
                      <a:avLst/>
                    </a:prstGeom>
                  </pic:spPr>
                </pic:pic>
              </a:graphicData>
            </a:graphic>
          </wp:inline>
        </w:drawing>
      </w:r>
    </w:p>
    <w:p w14:paraId="6B966718" w14:textId="672A95FE" w:rsidR="00971D86" w:rsidRDefault="00971D86" w:rsidP="00971D86">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r w:rsidR="008D434C" w:rsidRPr="008D434C">
        <w:rPr>
          <w:sz w:val="20"/>
          <w:szCs w:val="20"/>
        </w:rPr>
        <w:t>Kotlin</w:t>
      </w:r>
    </w:p>
    <w:p w14:paraId="75898FA9" w14:textId="7892DA36" w:rsidR="008046CF" w:rsidRPr="007E7F7B" w:rsidRDefault="00BE0714" w:rsidP="00294813">
      <w:r>
        <w:lastRenderedPageBreak/>
        <w:tab/>
      </w:r>
      <w:r w:rsidR="00907EAB">
        <w:t>No gráfico da métrica</w:t>
      </w:r>
      <w:r w:rsidR="00812950">
        <w:t xml:space="preserve"> de tamanho da linguagem de programação </w:t>
      </w:r>
      <w:r w:rsidR="00812950" w:rsidRPr="00812950">
        <w:rPr>
          <w:i/>
          <w:iCs/>
        </w:rPr>
        <w:t>Kotlin</w:t>
      </w:r>
      <w:r w:rsidR="00812950">
        <w:t xml:space="preserve"> mostra que os navegadores da classe tradicional </w:t>
      </w:r>
      <w:r w:rsidR="00BA5032">
        <w:t xml:space="preserve">possuem 90% do código estão em até 15.000 linhas de códigos escritas em </w:t>
      </w:r>
      <w:r w:rsidR="00BA5032" w:rsidRPr="00812950">
        <w:rPr>
          <w:i/>
          <w:iCs/>
        </w:rPr>
        <w:t>Kotlin</w:t>
      </w:r>
      <w:r w:rsidR="00812950">
        <w:t>.</w:t>
      </w:r>
      <w:r w:rsidR="00BA5032">
        <w:t xml:space="preserve"> A classe tradicional é a que possui maior número de linhas de códigos escritas em </w:t>
      </w:r>
      <w:r w:rsidR="00BA5032" w:rsidRPr="00812950">
        <w:rPr>
          <w:i/>
          <w:iCs/>
        </w:rPr>
        <w:t>Kotlin</w:t>
      </w:r>
      <w:r w:rsidR="007E7F7B">
        <w:t xml:space="preserve">. A classe de navegadores focados em segurança possui os menores valores de linha de código escrita em </w:t>
      </w:r>
      <w:r w:rsidR="007E7F7B" w:rsidRPr="00812950">
        <w:rPr>
          <w:i/>
          <w:iCs/>
        </w:rPr>
        <w:t>Kotlin</w:t>
      </w:r>
      <w:r w:rsidR="007E7F7B">
        <w:t>.</w:t>
      </w:r>
    </w:p>
    <w:p w14:paraId="7EB2049D" w14:textId="46670104" w:rsidR="00F861A3" w:rsidRDefault="00F861A3" w:rsidP="00294813">
      <w:r>
        <w:tab/>
        <w:t xml:space="preserve">A </w:t>
      </w:r>
      <w:r w:rsidR="007E7F7B">
        <w:t xml:space="preserve">Figura </w:t>
      </w:r>
      <w:r w:rsidR="00AC516B">
        <w:t>7</w:t>
      </w:r>
      <w:r w:rsidR="00403DB9">
        <w:t xml:space="preserve"> apresenta</w:t>
      </w:r>
      <w:r>
        <w:t xml:space="preserve"> os gráficos das linguagens de </w:t>
      </w:r>
      <w:r w:rsidRPr="00F861A3">
        <w:rPr>
          <w:i/>
          <w:iCs/>
        </w:rPr>
        <w:t>frontend</w:t>
      </w:r>
      <w:r>
        <w:t xml:space="preserve"> utilizadas no desenvolvimento dos navegadores.</w:t>
      </w:r>
    </w:p>
    <w:p w14:paraId="18F0C3E1" w14:textId="22B37D5A" w:rsidR="00F861A3" w:rsidRDefault="00F32CD4" w:rsidP="00294813">
      <w:r>
        <w:rPr>
          <w:noProof/>
        </w:rPr>
        <w:drawing>
          <wp:inline distT="0" distB="0" distL="0" distR="0" wp14:anchorId="5ADCB245" wp14:editId="14478D64">
            <wp:extent cx="5760720" cy="288353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ontEn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294813">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r w:rsidRPr="00F861A3">
        <w:rPr>
          <w:i/>
          <w:iCs/>
          <w:sz w:val="20"/>
          <w:szCs w:val="20"/>
        </w:rPr>
        <w:t>Frontend</w:t>
      </w:r>
    </w:p>
    <w:p w14:paraId="023FC0D6" w14:textId="7D759268" w:rsidR="00F861A3" w:rsidRPr="009274B6" w:rsidRDefault="00640825" w:rsidP="00294813">
      <w:r>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7B20DDF0"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r w:rsidR="005A1935">
        <w:t xml:space="preserve"> Está métrica busca apresentar o quão o código está distribuído entre o pacote dos sistemas. Nesta métrica, quanto maior as linhas de código, maior a distribuição do mesmo entre os pacotes. Quanto menor o valor desta métrica, menor sua distribuição.</w:t>
      </w:r>
      <w:bookmarkStart w:id="6" w:name="_GoBack"/>
      <w:bookmarkEnd w:id="6"/>
    </w:p>
    <w:p w14:paraId="48A1951F" w14:textId="5AE1EDCC" w:rsidR="00583DDB" w:rsidRDefault="00AC516B" w:rsidP="0039114A">
      <w:pPr>
        <w:jc w:val="center"/>
      </w:pPr>
      <w:r>
        <w:rPr>
          <w:noProof/>
        </w:rPr>
        <w:lastRenderedPageBreak/>
        <w:drawing>
          <wp:inline distT="0" distB="0" distL="0" distR="0" wp14:anchorId="286C810E" wp14:editId="56A15C39">
            <wp:extent cx="3600000" cy="3600000"/>
            <wp:effectExtent l="0" t="0" r="635"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LOC_Media_por_pacote .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7E2DF38" w14:textId="54B24A1E" w:rsidR="00583DDB" w:rsidRDefault="00583DDB" w:rsidP="00583DDB">
      <w:pPr>
        <w:jc w:val="center"/>
      </w:pPr>
      <w:r w:rsidRPr="00294813">
        <w:rPr>
          <w:b/>
          <w:bCs/>
          <w:sz w:val="20"/>
          <w:szCs w:val="20"/>
        </w:rPr>
        <w:t xml:space="preserve">Figura </w:t>
      </w:r>
      <w:r w:rsidR="00AC516B">
        <w:rPr>
          <w:b/>
          <w:bCs/>
          <w:sz w:val="20"/>
          <w:szCs w:val="20"/>
        </w:rPr>
        <w:t>8</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r w:rsidRPr="00F861A3">
        <w:rPr>
          <w:i/>
          <w:iCs/>
          <w:sz w:val="20"/>
          <w:szCs w:val="20"/>
        </w:rPr>
        <w:t>Frontend</w:t>
      </w:r>
    </w:p>
    <w:p w14:paraId="0B32074D" w14:textId="39B284B8" w:rsidR="00E755F0" w:rsidRDefault="005D3D40" w:rsidP="0000176D">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w:t>
      </w:r>
      <w:r w:rsidR="005A1935">
        <w:t xml:space="preserve">focados em </w:t>
      </w:r>
      <w:r w:rsidR="005A1935">
        <w:t xml:space="preserve">segurança </w:t>
      </w:r>
      <w:r w:rsidR="00804D8E">
        <w:t>são melhores distribuídos nos pacotes.</w:t>
      </w:r>
    </w:p>
    <w:p w14:paraId="74B410DF" w14:textId="492274EC" w:rsidR="00F23462" w:rsidRDefault="00D16565" w:rsidP="00D16565">
      <w:pPr>
        <w:pStyle w:val="Ttulo3"/>
      </w:pPr>
      <w:r>
        <w:t>5.3. Analise</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r w:rsidR="00124F4E" w:rsidRPr="00124F4E">
        <w:rPr>
          <w:i/>
          <w:iCs/>
        </w:rPr>
        <w:t>Kotlin</w:t>
      </w:r>
      <w:r w:rsidR="00124F4E">
        <w:t>, observa-se que a classe que possui maior número de linhas escritas nesta linguagem é a de navegadores tradicionais.</w:t>
      </w:r>
      <w:r w:rsidR="00D62A2E">
        <w:t xml:space="preserve"> A classe que apresentou as menores </w:t>
      </w:r>
      <w:r w:rsidR="00D62A2E">
        <w:lastRenderedPageBreak/>
        <w:t>linhas de código nesta linguagem foi a dos navegadores focados em segurança. Isto pode responder o por</w:t>
      </w:r>
      <w:r w:rsidR="00C93020">
        <w:t xml:space="preserve"> </w:t>
      </w:r>
      <w:r w:rsidR="00D62A2E">
        <w:t>que a classe de navegadores tradicionais, apresenta valores altos para as 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7AB647A4" w:rsidR="002E26F0" w:rsidRPr="00124F4E" w:rsidRDefault="002E26F0" w:rsidP="0000176D">
      <w:r>
        <w:tab/>
        <w:t>Com isto, pode-se dizer que a classe de navegadores focados em segurança possui classes menos complexas e que possui uma qualidade em seu código fonte, apesar disto existem pontos a serem melhorados, como em questões de polimorfismo. Mesmo a classe de segurança tendo bons resultados, pode-se dizer que a classe de navegadores focado em privacidade apresentaram resultados mais constantes e com isso, uma melhor qualidade.</w:t>
      </w:r>
    </w:p>
    <w:p w14:paraId="2CBC4F47" w14:textId="60863E8B" w:rsidR="000559C4" w:rsidRPr="00063CBE" w:rsidRDefault="00C15F26" w:rsidP="00063CBE">
      <w:pPr>
        <w:pStyle w:val="Ttulo2"/>
      </w:pPr>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Robi. </w:t>
      </w:r>
      <w:r>
        <w:rPr>
          <w:rFonts w:ascii="Times New Roman" w:eastAsia="Times New Roman" w:hAnsi="Times New Roman" w:cs="Times New Roman"/>
          <w:color w:val="000000"/>
        </w:rPr>
        <w:t>ORTIZ, C. Erique.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lastRenderedPageBreak/>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7" w:name="_1t3h5sf" w:colFirst="0" w:colLast="0"/>
      <w:bookmarkEnd w:id="7"/>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lastRenderedPageBreak/>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r w:rsidRPr="00CB5C24">
        <w:t>Worldwide"</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272F49" w:rsidRDefault="00C15F26">
      <w:pPr>
        <w:pBdr>
          <w:top w:val="nil"/>
          <w:left w:val="nil"/>
          <w:bottom w:val="nil"/>
          <w:right w:val="nil"/>
          <w:between w:val="nil"/>
        </w:pBdr>
        <w:spacing w:before="0" w:after="200"/>
        <w:ind w:left="1440" w:hanging="720"/>
        <w:jc w:val="left"/>
        <w:rPr>
          <w:lang w:val="en-US"/>
        </w:rPr>
      </w:pPr>
      <w:r w:rsidRPr="00272F49">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272F49">
        <w:rPr>
          <w:lang w:val="en-US"/>
        </w:rPr>
        <w:t xml:space="preserve">TANENBAUM, A. S. Redes de Computadores 5ª ed. </w:t>
      </w:r>
      <w:r w:rsidRPr="00334BBD">
        <w:rPr>
          <w:lang w:val="en-US"/>
        </w:rPr>
        <w:t>São Paulo: Pearson, 2011.</w:t>
      </w:r>
    </w:p>
    <w:p w14:paraId="73985387" w14:textId="77777777" w:rsidR="000559C4" w:rsidRPr="00272F49" w:rsidRDefault="00C15F26">
      <w:pPr>
        <w:pBdr>
          <w:top w:val="nil"/>
          <w:left w:val="nil"/>
          <w:bottom w:val="nil"/>
          <w:right w:val="nil"/>
          <w:between w:val="nil"/>
        </w:pBdr>
        <w:jc w:val="left"/>
        <w:rPr>
          <w:lang w:val="en-US"/>
        </w:rPr>
      </w:pPr>
      <w:r w:rsidRPr="00272F49">
        <w:rPr>
          <w:lang w:val="en-US"/>
        </w:rPr>
        <w:t>Tor</w:t>
      </w:r>
      <w:r w:rsidRPr="00272F49">
        <w:rPr>
          <w:color w:val="000000"/>
          <w:lang w:val="en-US"/>
        </w:rPr>
        <w:t xml:space="preserve">. (2017) “What is Tor Browser?”, </w:t>
      </w:r>
      <w:r w:rsidRPr="00272F49">
        <w:rPr>
          <w:lang w:val="en-US"/>
        </w:rPr>
        <w:t>Disponível</w:t>
      </w:r>
      <w:r w:rsidRPr="00272F49">
        <w:rPr>
          <w:color w:val="000000"/>
          <w:lang w:val="en-US"/>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 xml:space="preserve">https://www.torproject.org/projects/torbrowser.html.en&gt;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W3COUNTER "Browser &amp; Platform Market Share" Disponível em:</w:t>
      </w:r>
    </w:p>
    <w:p w14:paraId="4AE0C038" w14:textId="77777777" w:rsidR="000559C4" w:rsidRDefault="00C15F26">
      <w:pPr>
        <w:pBdr>
          <w:top w:val="nil"/>
          <w:left w:val="nil"/>
          <w:bottom w:val="nil"/>
          <w:right w:val="nil"/>
          <w:between w:val="nil"/>
        </w:pBdr>
        <w:spacing w:before="0" w:after="200"/>
        <w:ind w:left="1440" w:hanging="720"/>
        <w:jc w:val="left"/>
      </w:pPr>
      <w:r>
        <w:t>&lt;https://www.w3counter.com/globalstats.php&gt;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3ABDC" w14:textId="77777777" w:rsidR="00EA3391" w:rsidRDefault="00EA3391">
      <w:pPr>
        <w:spacing w:before="0"/>
      </w:pPr>
      <w:r>
        <w:separator/>
      </w:r>
    </w:p>
  </w:endnote>
  <w:endnote w:type="continuationSeparator" w:id="0">
    <w:p w14:paraId="0594EDE6" w14:textId="77777777" w:rsidR="00EA3391" w:rsidRDefault="00EA33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4F0FA2" w:rsidRPr="0067168E" w:rsidRDefault="004F0FA2">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4F0FA2" w:rsidRPr="0067168E" w:rsidRDefault="004F0FA2">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84BF5" w14:textId="77777777" w:rsidR="00EA3391" w:rsidRDefault="00EA3391">
      <w:pPr>
        <w:spacing w:before="0"/>
      </w:pPr>
      <w:r>
        <w:separator/>
      </w:r>
    </w:p>
  </w:footnote>
  <w:footnote w:type="continuationSeparator" w:id="0">
    <w:p w14:paraId="1D9E400B" w14:textId="77777777" w:rsidR="00EA3391" w:rsidRDefault="00EA339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4F0FA2" w:rsidRDefault="004F0FA2">
    <w:r>
      <w:fldChar w:fldCharType="begin"/>
    </w:r>
    <w:r>
      <w:instrText>PAGE</w:instrText>
    </w:r>
    <w:r>
      <w:fldChar w:fldCharType="end"/>
    </w:r>
  </w:p>
  <w:p w14:paraId="5AC09D02" w14:textId="77777777" w:rsidR="004F0FA2" w:rsidRDefault="004F0FA2">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4F0FA2" w:rsidRDefault="004F0FA2"/>
  <w:p w14:paraId="714A3AD2" w14:textId="77777777" w:rsidR="004F0FA2" w:rsidRDefault="004F0FA2">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59C4"/>
    <w:rsid w:val="00063CBE"/>
    <w:rsid w:val="00072DD7"/>
    <w:rsid w:val="000753AB"/>
    <w:rsid w:val="00081006"/>
    <w:rsid w:val="000827F6"/>
    <w:rsid w:val="00092958"/>
    <w:rsid w:val="000C2646"/>
    <w:rsid w:val="000F0AE3"/>
    <w:rsid w:val="000F61AC"/>
    <w:rsid w:val="000F78F7"/>
    <w:rsid w:val="000F7A10"/>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939AC"/>
    <w:rsid w:val="001B5A75"/>
    <w:rsid w:val="001D2273"/>
    <w:rsid w:val="001D6E02"/>
    <w:rsid w:val="001E2E16"/>
    <w:rsid w:val="001F006F"/>
    <w:rsid w:val="001F4239"/>
    <w:rsid w:val="001F50DD"/>
    <w:rsid w:val="00202A78"/>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60E"/>
    <w:rsid w:val="00465D33"/>
    <w:rsid w:val="00484D7D"/>
    <w:rsid w:val="00491C34"/>
    <w:rsid w:val="00494DE9"/>
    <w:rsid w:val="004A016F"/>
    <w:rsid w:val="004C32F6"/>
    <w:rsid w:val="004D2D1E"/>
    <w:rsid w:val="004E1E7F"/>
    <w:rsid w:val="004F0FA2"/>
    <w:rsid w:val="004F2CA3"/>
    <w:rsid w:val="004F4623"/>
    <w:rsid w:val="004F5BC1"/>
    <w:rsid w:val="00501D82"/>
    <w:rsid w:val="0053247C"/>
    <w:rsid w:val="00533878"/>
    <w:rsid w:val="00551B8C"/>
    <w:rsid w:val="00556C9C"/>
    <w:rsid w:val="0056248D"/>
    <w:rsid w:val="0057248B"/>
    <w:rsid w:val="005834E3"/>
    <w:rsid w:val="00583DDB"/>
    <w:rsid w:val="005877BD"/>
    <w:rsid w:val="005910F6"/>
    <w:rsid w:val="00592C0B"/>
    <w:rsid w:val="005A1935"/>
    <w:rsid w:val="005A5CC9"/>
    <w:rsid w:val="005A6E96"/>
    <w:rsid w:val="005B766B"/>
    <w:rsid w:val="005D04A4"/>
    <w:rsid w:val="005D0A8B"/>
    <w:rsid w:val="005D3D40"/>
    <w:rsid w:val="005D4050"/>
    <w:rsid w:val="005D74CB"/>
    <w:rsid w:val="005D7EB7"/>
    <w:rsid w:val="005E1F5A"/>
    <w:rsid w:val="005E40CD"/>
    <w:rsid w:val="005F1827"/>
    <w:rsid w:val="005F2132"/>
    <w:rsid w:val="005F331D"/>
    <w:rsid w:val="005F3E0D"/>
    <w:rsid w:val="00600B7E"/>
    <w:rsid w:val="0062116D"/>
    <w:rsid w:val="0062513F"/>
    <w:rsid w:val="00627107"/>
    <w:rsid w:val="00640825"/>
    <w:rsid w:val="00654861"/>
    <w:rsid w:val="00655098"/>
    <w:rsid w:val="0067168E"/>
    <w:rsid w:val="006937F4"/>
    <w:rsid w:val="006A2B6F"/>
    <w:rsid w:val="006B420B"/>
    <w:rsid w:val="006B7896"/>
    <w:rsid w:val="006C38C8"/>
    <w:rsid w:val="006D15A3"/>
    <w:rsid w:val="006D2571"/>
    <w:rsid w:val="006D3F8A"/>
    <w:rsid w:val="006D5703"/>
    <w:rsid w:val="006F2596"/>
    <w:rsid w:val="007118A7"/>
    <w:rsid w:val="0071341B"/>
    <w:rsid w:val="00715994"/>
    <w:rsid w:val="0071603F"/>
    <w:rsid w:val="00724CA7"/>
    <w:rsid w:val="00734154"/>
    <w:rsid w:val="00755257"/>
    <w:rsid w:val="0076503E"/>
    <w:rsid w:val="00765FE7"/>
    <w:rsid w:val="007750E7"/>
    <w:rsid w:val="00776752"/>
    <w:rsid w:val="00790798"/>
    <w:rsid w:val="007A4D30"/>
    <w:rsid w:val="007B522D"/>
    <w:rsid w:val="007C4F72"/>
    <w:rsid w:val="007D1F66"/>
    <w:rsid w:val="007E7A0B"/>
    <w:rsid w:val="007E7F7B"/>
    <w:rsid w:val="007F1FF5"/>
    <w:rsid w:val="007F64F1"/>
    <w:rsid w:val="0080186A"/>
    <w:rsid w:val="00804165"/>
    <w:rsid w:val="00804176"/>
    <w:rsid w:val="008046CF"/>
    <w:rsid w:val="00804D8E"/>
    <w:rsid w:val="00805358"/>
    <w:rsid w:val="00806AE8"/>
    <w:rsid w:val="00812950"/>
    <w:rsid w:val="00821CE7"/>
    <w:rsid w:val="00824F9F"/>
    <w:rsid w:val="008276EC"/>
    <w:rsid w:val="008303E2"/>
    <w:rsid w:val="00830BCC"/>
    <w:rsid w:val="00833D48"/>
    <w:rsid w:val="0084137E"/>
    <w:rsid w:val="00847741"/>
    <w:rsid w:val="00861E80"/>
    <w:rsid w:val="008728CC"/>
    <w:rsid w:val="00873462"/>
    <w:rsid w:val="00893D6B"/>
    <w:rsid w:val="008A3198"/>
    <w:rsid w:val="008A4893"/>
    <w:rsid w:val="008B3A1F"/>
    <w:rsid w:val="008B4E0A"/>
    <w:rsid w:val="008D0C2A"/>
    <w:rsid w:val="008D434C"/>
    <w:rsid w:val="008D603A"/>
    <w:rsid w:val="008D6266"/>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4E22"/>
    <w:rsid w:val="009B51C6"/>
    <w:rsid w:val="009B520C"/>
    <w:rsid w:val="009B62E8"/>
    <w:rsid w:val="009B717B"/>
    <w:rsid w:val="009F1B2D"/>
    <w:rsid w:val="009F76D7"/>
    <w:rsid w:val="00A00B55"/>
    <w:rsid w:val="00A04EC0"/>
    <w:rsid w:val="00A21791"/>
    <w:rsid w:val="00A26421"/>
    <w:rsid w:val="00A52127"/>
    <w:rsid w:val="00A52446"/>
    <w:rsid w:val="00A52E45"/>
    <w:rsid w:val="00A653F5"/>
    <w:rsid w:val="00A74084"/>
    <w:rsid w:val="00A75ACA"/>
    <w:rsid w:val="00A76DD3"/>
    <w:rsid w:val="00A86C60"/>
    <w:rsid w:val="00AB4277"/>
    <w:rsid w:val="00AB788C"/>
    <w:rsid w:val="00AC516B"/>
    <w:rsid w:val="00AC58BB"/>
    <w:rsid w:val="00AD43C9"/>
    <w:rsid w:val="00AD677D"/>
    <w:rsid w:val="00AE0BC5"/>
    <w:rsid w:val="00AE2EDE"/>
    <w:rsid w:val="00AE50D2"/>
    <w:rsid w:val="00AF4496"/>
    <w:rsid w:val="00AF7094"/>
    <w:rsid w:val="00B03234"/>
    <w:rsid w:val="00B06653"/>
    <w:rsid w:val="00B23E6A"/>
    <w:rsid w:val="00B27F0C"/>
    <w:rsid w:val="00B32EFE"/>
    <w:rsid w:val="00B45B65"/>
    <w:rsid w:val="00B62557"/>
    <w:rsid w:val="00B65931"/>
    <w:rsid w:val="00B75E52"/>
    <w:rsid w:val="00B816FA"/>
    <w:rsid w:val="00BA5032"/>
    <w:rsid w:val="00BA50BD"/>
    <w:rsid w:val="00BA7B96"/>
    <w:rsid w:val="00BC0494"/>
    <w:rsid w:val="00BE0714"/>
    <w:rsid w:val="00BE0B62"/>
    <w:rsid w:val="00C01DA3"/>
    <w:rsid w:val="00C05F65"/>
    <w:rsid w:val="00C11FB7"/>
    <w:rsid w:val="00C13975"/>
    <w:rsid w:val="00C15F26"/>
    <w:rsid w:val="00C17D1D"/>
    <w:rsid w:val="00C23745"/>
    <w:rsid w:val="00C370D9"/>
    <w:rsid w:val="00C413E1"/>
    <w:rsid w:val="00C45E6C"/>
    <w:rsid w:val="00C60251"/>
    <w:rsid w:val="00C6482E"/>
    <w:rsid w:val="00C66BD7"/>
    <w:rsid w:val="00C66FD6"/>
    <w:rsid w:val="00C93020"/>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62A2E"/>
    <w:rsid w:val="00D74E83"/>
    <w:rsid w:val="00D85FC4"/>
    <w:rsid w:val="00D9756D"/>
    <w:rsid w:val="00DB5805"/>
    <w:rsid w:val="00DD26D5"/>
    <w:rsid w:val="00DD66E7"/>
    <w:rsid w:val="00DD7F85"/>
    <w:rsid w:val="00E0016D"/>
    <w:rsid w:val="00E12AED"/>
    <w:rsid w:val="00E22910"/>
    <w:rsid w:val="00E27636"/>
    <w:rsid w:val="00E3405E"/>
    <w:rsid w:val="00E36E79"/>
    <w:rsid w:val="00E4578F"/>
    <w:rsid w:val="00E503D1"/>
    <w:rsid w:val="00E52789"/>
    <w:rsid w:val="00E52817"/>
    <w:rsid w:val="00E53591"/>
    <w:rsid w:val="00E5476F"/>
    <w:rsid w:val="00E66648"/>
    <w:rsid w:val="00E755F0"/>
    <w:rsid w:val="00E76D3A"/>
    <w:rsid w:val="00E812FB"/>
    <w:rsid w:val="00E846BE"/>
    <w:rsid w:val="00E937C2"/>
    <w:rsid w:val="00EA093C"/>
    <w:rsid w:val="00EA3391"/>
    <w:rsid w:val="00EA46F3"/>
    <w:rsid w:val="00EB0BD5"/>
    <w:rsid w:val="00EC6B0C"/>
    <w:rsid w:val="00EE5AE6"/>
    <w:rsid w:val="00F0202A"/>
    <w:rsid w:val="00F104C7"/>
    <w:rsid w:val="00F23462"/>
    <w:rsid w:val="00F32CD4"/>
    <w:rsid w:val="00F33193"/>
    <w:rsid w:val="00F40F25"/>
    <w:rsid w:val="00F52149"/>
    <w:rsid w:val="00F54041"/>
    <w:rsid w:val="00F70EFC"/>
    <w:rsid w:val="00F805FB"/>
    <w:rsid w:val="00F809C2"/>
    <w:rsid w:val="00F84A23"/>
    <w:rsid w:val="00F861A3"/>
    <w:rsid w:val="00F90EE2"/>
    <w:rsid w:val="00FA0423"/>
    <w:rsid w:val="00FA22B6"/>
    <w:rsid w:val="00FA23F3"/>
    <w:rsid w:val="00FC07B7"/>
    <w:rsid w:val="00FC23EC"/>
    <w:rsid w:val="00FC765F"/>
    <w:rsid w:val="00FD7964"/>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e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26DFD-5F8C-43A5-975B-0B705500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4890</TotalTime>
  <Pages>22</Pages>
  <Words>8281</Words>
  <Characters>44723</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Marques</dc:creator>
  <cp:lastModifiedBy>Felipe Marques</cp:lastModifiedBy>
  <cp:revision>184</cp:revision>
  <cp:lastPrinted>2019-09-23T00:12:00Z</cp:lastPrinted>
  <dcterms:created xsi:type="dcterms:W3CDTF">2019-09-06T13:53:00Z</dcterms:created>
  <dcterms:modified xsi:type="dcterms:W3CDTF">2019-10-05T23:50:00Z</dcterms:modified>
</cp:coreProperties>
</file>