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9D1969" w:rsidRDefault="00C15F26">
      <w:pPr>
        <w:spacing w:after="120"/>
        <w:ind w:right="460"/>
        <w:jc w:val="center"/>
      </w:pPr>
      <w:r w:rsidRPr="009D1969">
        <w:rPr>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2835"/>
        <w:gridCol w:w="1984"/>
        <w:gridCol w:w="2145"/>
      </w:tblGrid>
      <w:tr w:rsidR="000559C4" w14:paraId="56D91EBC" w14:textId="77777777" w:rsidTr="002F02D3">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2F02D3">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proofErr w:type="spellStart"/>
            <w:r w:rsidRPr="00CC69FD">
              <w:rPr>
                <w:i/>
              </w:rPr>
              <w:t>Coupling</w:t>
            </w:r>
            <w:proofErr w:type="spellEnd"/>
            <w:r w:rsidRPr="00CC69FD">
              <w:rPr>
                <w:i/>
              </w:rPr>
              <w:t xml:space="preserve"> </w:t>
            </w:r>
            <w:proofErr w:type="spellStart"/>
            <w:r w:rsidRPr="00CC69FD">
              <w:rPr>
                <w:i/>
              </w:rPr>
              <w:t>Between</w:t>
            </w:r>
            <w:proofErr w:type="spellEnd"/>
            <w:r w:rsidRPr="00CC69FD">
              <w:rPr>
                <w:i/>
              </w:rPr>
              <w:t xml:space="preserve"> </w:t>
            </w:r>
            <w:proofErr w:type="spellStart"/>
            <w:r w:rsidRPr="00CC69FD">
              <w:rPr>
                <w:i/>
              </w:rPr>
              <w:t>Objects</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2F02D3">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proofErr w:type="spellStart"/>
            <w:r w:rsidRPr="00CC69FD">
              <w:rPr>
                <w:i/>
              </w:rPr>
              <w:t>Coupling</w:t>
            </w:r>
            <w:proofErr w:type="spellEnd"/>
            <w:r w:rsidRPr="00CC69FD">
              <w:rPr>
                <w:i/>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 xml:space="preserve">Número de métodos que acessam um ou </w:t>
            </w:r>
            <w:r w:rsidRPr="00CC69FD">
              <w:lastRenderedPageBreak/>
              <w:t>mais dos mesmos atributos;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lastRenderedPageBreak/>
              <w:t xml:space="preserve">Métrica de </w:t>
            </w:r>
            <w:r w:rsidR="004F5BC1" w:rsidRPr="00CC69FD">
              <w:t>Coesão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proofErr w:type="spellStart"/>
            <w:r w:rsidRPr="00CC69FD">
              <w:rPr>
                <w:i/>
              </w:rPr>
              <w:t>Number</w:t>
            </w:r>
            <w:proofErr w:type="spellEnd"/>
            <w:r w:rsidRPr="00CC69FD">
              <w:rPr>
                <w:i/>
              </w:rPr>
              <w:t xml:space="preserve"> </w:t>
            </w:r>
            <w:proofErr w:type="spellStart"/>
            <w:r w:rsidRPr="00CC69FD">
              <w:rPr>
                <w:i/>
              </w:rPr>
              <w:t>Of</w:t>
            </w:r>
            <w:proofErr w:type="spellEnd"/>
            <w:r w:rsidRPr="00CC69FD">
              <w:rPr>
                <w:i/>
              </w:rPr>
              <w:t xml:space="preserve"> </w:t>
            </w:r>
            <w:proofErr w:type="spellStart"/>
            <w:r w:rsidRPr="00CC69FD">
              <w:rPr>
                <w:i/>
              </w:rPr>
              <w:t>Children</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2F02D3">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 xml:space="preserve">RFC - Response </w:t>
            </w:r>
            <w:proofErr w:type="gramStart"/>
            <w:r w:rsidRPr="00CC69FD">
              <w:rPr>
                <w:lang w:val="en-US"/>
              </w:rPr>
              <w:t>For</w:t>
            </w:r>
            <w:proofErr w:type="gramEnd"/>
            <w:r w:rsidRPr="00CC69FD">
              <w:rPr>
                <w:lang w:val="en-US"/>
              </w:rPr>
              <w:t xml:space="preserve"> a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2F02D3">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 xml:space="preserve">LOC - Lines </w:t>
            </w:r>
            <w:proofErr w:type="spellStart"/>
            <w:r w:rsidRPr="00CC69FD">
              <w:t>Of</w:t>
            </w:r>
            <w:proofErr w:type="spellEnd"/>
            <w:r w:rsidRPr="00CC69FD">
              <w:t xml:space="preserve"> </w:t>
            </w:r>
            <w:proofErr w:type="spellStart"/>
            <w:r w:rsidRPr="00CC69FD">
              <w:t>Code</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w:t>
            </w:r>
            <w:proofErr w:type="spellStart"/>
            <w:r w:rsidRPr="00CC69FD">
              <w:rPr>
                <w:lang w:val="en-US"/>
              </w:rPr>
              <w:t>pacote</w:t>
            </w:r>
            <w:proofErr w:type="spellEnd"/>
            <w:r w:rsidRPr="00CC69FD">
              <w:rPr>
                <w:lang w:val="en-US"/>
              </w:rPr>
              <w:t xml:space="preserve"> - </w:t>
            </w:r>
            <w:r w:rsidRPr="00CC69FD">
              <w:rPr>
                <w:i/>
                <w:lang w:val="en-US"/>
              </w:rPr>
              <w:t xml:space="preserve">Lines </w:t>
            </w:r>
            <w:proofErr w:type="gramStart"/>
            <w:r w:rsidRPr="00CC69FD">
              <w:rPr>
                <w:i/>
                <w:lang w:val="en-US"/>
              </w:rPr>
              <w:t>Of</w:t>
            </w:r>
            <w:proofErr w:type="gramEnd"/>
            <w:r w:rsidRPr="00CC69FD">
              <w:rPr>
                <w:i/>
                <w:lang w:val="en-US"/>
              </w:rPr>
              <w:t xml:space="preserve"> Code per package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2F02D3">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w:t>
            </w:r>
            <w:proofErr w:type="spellStart"/>
            <w:r w:rsidRPr="00CC69FD">
              <w:rPr>
                <w:lang w:val="en-US"/>
              </w:rPr>
              <w:t>linguagem</w:t>
            </w:r>
            <w:proofErr w:type="spellEnd"/>
            <w:r w:rsidRPr="00CC69FD">
              <w:rPr>
                <w:lang w:val="en-US"/>
              </w:rPr>
              <w:t xml:space="preserve"> - </w:t>
            </w:r>
            <w:r w:rsidRPr="00CC69FD">
              <w:rPr>
                <w:i/>
                <w:lang w:val="en-US"/>
              </w:rPr>
              <w:t xml:space="preserve">Lines </w:t>
            </w:r>
            <w:proofErr w:type="gramStart"/>
            <w:r w:rsidRPr="00CC69FD">
              <w:rPr>
                <w:i/>
                <w:lang w:val="en-US"/>
              </w:rPr>
              <w:t>Of</w:t>
            </w:r>
            <w:proofErr w:type="gramEnd"/>
            <w:r w:rsidRPr="00CC69FD">
              <w:rPr>
                <w:i/>
                <w:lang w:val="en-US"/>
              </w:rPr>
              <w:t xml:space="preserve"> Code per programming language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2F02D3">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2F02D3">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proofErr w:type="spellStart"/>
            <w:r w:rsidRPr="00CC69FD">
              <w:rPr>
                <w:i/>
              </w:rPr>
              <w:t>Attribute</w:t>
            </w:r>
            <w:proofErr w:type="spellEnd"/>
            <w:r w:rsidRPr="00CC69FD">
              <w:rPr>
                <w:i/>
              </w:rPr>
              <w:t xml:space="preserve"> </w:t>
            </w:r>
            <w:proofErr w:type="spellStart"/>
            <w:r w:rsidRPr="00CC69FD">
              <w:rPr>
                <w:i/>
              </w:rPr>
              <w:t>Hiding</w:t>
            </w:r>
            <w:proofErr w:type="spellEnd"/>
            <w:r w:rsidRPr="00CC69FD">
              <w:rPr>
                <w:i/>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2F02D3">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proofErr w:type="spellStart"/>
            <w:r w:rsidRPr="00CC69FD">
              <w:rPr>
                <w:i/>
              </w:rPr>
              <w:t>Attribute</w:t>
            </w:r>
            <w:proofErr w:type="spellEnd"/>
            <w:r w:rsidRPr="00CC69FD">
              <w:rPr>
                <w:i/>
              </w:rPr>
              <w:t xml:space="preserve"> </w:t>
            </w:r>
            <w:proofErr w:type="spellStart"/>
            <w:r w:rsidRPr="00CC69FD">
              <w:rPr>
                <w:i/>
              </w:rPr>
              <w:t>Inheritance</w:t>
            </w:r>
            <w:proofErr w:type="spellEnd"/>
            <w:r w:rsidRPr="00CC69FD">
              <w:rPr>
                <w:i/>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2F02D3">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proofErr w:type="spellStart"/>
            <w:r w:rsidRPr="00CC69FD">
              <w:rPr>
                <w:i/>
              </w:rPr>
              <w:t>Method</w:t>
            </w:r>
            <w:proofErr w:type="spellEnd"/>
            <w:r w:rsidRPr="00CC69FD">
              <w:rPr>
                <w:i/>
              </w:rPr>
              <w:t xml:space="preserve"> </w:t>
            </w:r>
            <w:proofErr w:type="spellStart"/>
            <w:r w:rsidRPr="00CC69FD">
              <w:rPr>
                <w:i/>
              </w:rPr>
              <w:t>Hiding</w:t>
            </w:r>
            <w:proofErr w:type="spellEnd"/>
            <w:r w:rsidRPr="00CC69FD">
              <w:rPr>
                <w:i/>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2F02D3">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proofErr w:type="spellStart"/>
            <w:r w:rsidRPr="00CC69FD">
              <w:rPr>
                <w:i/>
              </w:rPr>
              <w:t>Method</w:t>
            </w:r>
            <w:proofErr w:type="spellEnd"/>
            <w:r w:rsidRPr="00CC69FD">
              <w:rPr>
                <w:i/>
              </w:rPr>
              <w:t xml:space="preserve"> </w:t>
            </w:r>
            <w:proofErr w:type="spellStart"/>
            <w:r w:rsidRPr="00CC69FD">
              <w:rPr>
                <w:i/>
              </w:rPr>
              <w:t>Inheritance</w:t>
            </w:r>
            <w:proofErr w:type="spellEnd"/>
            <w:r w:rsidRPr="00CC69FD">
              <w:rPr>
                <w:i/>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2F02D3">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proofErr w:type="spellStart"/>
            <w:r w:rsidRPr="00CC69FD">
              <w:rPr>
                <w:i/>
              </w:rPr>
              <w:t>Polymorphism</w:t>
            </w:r>
            <w:proofErr w:type="spellEnd"/>
            <w:r w:rsidRPr="00CC69FD">
              <w:rPr>
                <w:i/>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w:t>
      </w:r>
      <w:r>
        <w:lastRenderedPageBreak/>
        <w:t>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9D1969" w:rsidRDefault="00C15F26">
      <w:pPr>
        <w:jc w:val="center"/>
        <w:rPr>
          <w:b/>
        </w:rPr>
      </w:pPr>
      <w:r w:rsidRPr="009D1969">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560"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5357"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560"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560"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4F7EEDF" w14:textId="08F42FD7" w:rsidR="000559C4" w:rsidRPr="00CE0CAD" w:rsidRDefault="00104624">
            <w:pPr>
              <w:widowControl w:val="0"/>
              <w:spacing w:before="0"/>
              <w:jc w:val="left"/>
            </w:pPr>
            <w:hyperlink r:id="rId12" w:history="1">
              <w:r w:rsidR="00501D82" w:rsidRPr="00CE0CAD">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proofErr w:type="spellStart"/>
            <w:r w:rsidRPr="00CE0CAD">
              <w:t>Lightning</w:t>
            </w:r>
            <w:proofErr w:type="spellEnd"/>
            <w:r w:rsidRPr="00CE0CAD">
              <w:t xml:space="preserve"> Browser</w:t>
            </w:r>
          </w:p>
        </w:tc>
        <w:tc>
          <w:tcPr>
            <w:tcW w:w="1560"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E45570E" w14:textId="7B52B3FE" w:rsidR="000559C4" w:rsidRPr="00CE0CAD" w:rsidRDefault="00104624">
            <w:pPr>
              <w:widowControl w:val="0"/>
              <w:spacing w:before="0"/>
              <w:jc w:val="left"/>
            </w:pPr>
            <w:hyperlink r:id="rId13" w:history="1">
              <w:r w:rsidR="00FC23E9" w:rsidRPr="008A0E3F">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proofErr w:type="spellStart"/>
            <w:r w:rsidRPr="00CE0CAD">
              <w:rPr>
                <w:i/>
              </w:rPr>
              <w:t>Midori</w:t>
            </w:r>
            <w:proofErr w:type="spellEnd"/>
            <w:r w:rsidRPr="00CE0CAD">
              <w:rPr>
                <w:i/>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08E83FF" w14:textId="166DB958" w:rsidR="000559C4" w:rsidRPr="00CE0CAD" w:rsidRDefault="00104624">
            <w:pPr>
              <w:widowControl w:val="0"/>
              <w:spacing w:before="0"/>
              <w:jc w:val="left"/>
            </w:pPr>
            <w:hyperlink r:id="rId14" w:history="1">
              <w:r w:rsidR="00FC23E9" w:rsidRPr="008A0E3F">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proofErr w:type="spellStart"/>
            <w:r w:rsidRPr="00CE0CAD">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8BA1EB2" w14:textId="732BF8B7" w:rsidR="000559C4" w:rsidRPr="00CE0CAD" w:rsidRDefault="00104624">
            <w:pPr>
              <w:widowControl w:val="0"/>
              <w:spacing w:before="0"/>
              <w:jc w:val="left"/>
            </w:pPr>
            <w:hyperlink r:id="rId15" w:history="1">
              <w:r w:rsidR="00FC23E9" w:rsidRPr="008A0E3F">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proofErr w:type="spellStart"/>
            <w:r w:rsidRPr="00CE0CAD">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A2F0B7C" w14:textId="3FF35A52" w:rsidR="000559C4" w:rsidRPr="00CE0CAD" w:rsidRDefault="00104624">
            <w:pPr>
              <w:widowControl w:val="0"/>
              <w:spacing w:before="0"/>
              <w:jc w:val="left"/>
            </w:pPr>
            <w:hyperlink r:id="rId16" w:history="1">
              <w:r w:rsidR="00FC23E9" w:rsidRPr="008A0E3F">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350AAF4D" w14:textId="1BD32094" w:rsidR="000559C4" w:rsidRPr="00CE0CAD" w:rsidRDefault="00104624">
            <w:pPr>
              <w:widowControl w:val="0"/>
              <w:spacing w:before="0"/>
              <w:jc w:val="left"/>
            </w:pPr>
            <w:hyperlink r:id="rId17" w:history="1">
              <w:r w:rsidR="00FC23E9" w:rsidRPr="008A0E3F">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proofErr w:type="spellStart"/>
            <w:r w:rsidRPr="00CE0CAD">
              <w:t>Lucid</w:t>
            </w:r>
            <w:proofErr w:type="spellEnd"/>
            <w:r w:rsidRPr="00CE0CAD">
              <w:t xml:space="preserve"> Browser</w:t>
            </w:r>
          </w:p>
        </w:tc>
        <w:tc>
          <w:tcPr>
            <w:tcW w:w="1560"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104624">
            <w:pPr>
              <w:widowControl w:val="0"/>
              <w:spacing w:before="0"/>
              <w:jc w:val="left"/>
            </w:pPr>
            <w:hyperlink r:id="rId18" w:history="1">
              <w:r w:rsidR="00FC23E9" w:rsidRPr="008A0E3F">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proofErr w:type="spellStart"/>
            <w:r w:rsidRPr="00CE0CAD">
              <w:t>Pale</w:t>
            </w:r>
            <w:proofErr w:type="spellEnd"/>
            <w:r w:rsidRPr="00CE0CAD">
              <w:t xml:space="preserve"> </w:t>
            </w:r>
            <w:proofErr w:type="spellStart"/>
            <w:r w:rsidRPr="00CE0CAD">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7623A4D1" w14:textId="700F81C4" w:rsidR="000559C4" w:rsidRPr="00CE0CAD" w:rsidRDefault="00104624">
            <w:pPr>
              <w:widowControl w:val="0"/>
              <w:spacing w:before="0"/>
              <w:jc w:val="left"/>
            </w:pPr>
            <w:hyperlink r:id="rId19" w:history="1">
              <w:r w:rsidR="00FC23E9" w:rsidRPr="008A0E3F">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proofErr w:type="spellStart"/>
            <w:r w:rsidRPr="00CE0CAD">
              <w:t>JumpGo</w:t>
            </w:r>
            <w:proofErr w:type="spellEnd"/>
            <w:r w:rsidRPr="00CE0CAD">
              <w:t xml:space="preserve"> Browser</w:t>
            </w:r>
          </w:p>
        </w:tc>
        <w:tc>
          <w:tcPr>
            <w:tcW w:w="1560"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50768E02" w14:textId="40771B25" w:rsidR="000559C4" w:rsidRPr="00CE0CAD" w:rsidRDefault="00104624">
            <w:pPr>
              <w:widowControl w:val="0"/>
              <w:spacing w:before="0"/>
              <w:jc w:val="left"/>
            </w:pPr>
            <w:hyperlink r:id="rId20" w:history="1">
              <w:r w:rsidR="00501D82" w:rsidRPr="008A0E3F">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560"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9AD3055" w14:textId="457396C1" w:rsidR="000559C4" w:rsidRPr="00CE0CAD" w:rsidRDefault="00104624">
            <w:pPr>
              <w:widowControl w:val="0"/>
              <w:spacing w:before="0"/>
              <w:jc w:val="left"/>
            </w:pPr>
            <w:hyperlink r:id="rId21" w:history="1">
              <w:r w:rsidR="00FC23E9" w:rsidRPr="008A0E3F">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proofErr w:type="spellStart"/>
            <w:r w:rsidRPr="00CE0CAD">
              <w:t>Lynket</w:t>
            </w:r>
            <w:proofErr w:type="spellEnd"/>
            <w:r w:rsidRPr="00CE0CAD">
              <w:t xml:space="preserve"> Browser</w:t>
            </w:r>
          </w:p>
        </w:tc>
        <w:tc>
          <w:tcPr>
            <w:tcW w:w="1560"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A16FCBF" w14:textId="5A3BE907" w:rsidR="000559C4" w:rsidRPr="00CE0CAD" w:rsidRDefault="00104624">
            <w:pPr>
              <w:widowControl w:val="0"/>
              <w:spacing w:before="0"/>
              <w:jc w:val="left"/>
            </w:pPr>
            <w:hyperlink r:id="rId22" w:history="1">
              <w:r w:rsidR="00FC23E9" w:rsidRPr="008A0E3F">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560"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proofErr w:type="spellStart"/>
            <w:r w:rsidRPr="00CE0CAD">
              <w:t>Privacy</w:t>
            </w:r>
            <w:proofErr w:type="spellEnd"/>
            <w:r w:rsidRPr="00CE0CAD">
              <w:t xml:space="preserve"> Browser </w:t>
            </w:r>
          </w:p>
        </w:tc>
        <w:tc>
          <w:tcPr>
            <w:tcW w:w="1560"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32B32D68" w14:textId="7B0C7DC5" w:rsidR="000559C4" w:rsidRPr="008A0E3F" w:rsidRDefault="00104624">
            <w:pPr>
              <w:widowControl w:val="0"/>
              <w:spacing w:before="0"/>
              <w:jc w:val="left"/>
            </w:pPr>
            <w:hyperlink r:id="rId23" w:history="1">
              <w:r w:rsidR="00501D82" w:rsidRPr="008A0E3F">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proofErr w:type="spellStart"/>
            <w:r w:rsidRPr="00CE0CAD">
              <w:t>Tor</w:t>
            </w:r>
            <w:proofErr w:type="spellEnd"/>
            <w:r w:rsidRPr="00CE0CAD">
              <w:t>-Browser</w:t>
            </w:r>
          </w:p>
        </w:tc>
        <w:tc>
          <w:tcPr>
            <w:tcW w:w="1560"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168DE5FD" w14:textId="5062D52F" w:rsidR="000559C4" w:rsidRPr="008A0E3F" w:rsidRDefault="00104624">
            <w:pPr>
              <w:widowControl w:val="0"/>
              <w:spacing w:before="0"/>
              <w:jc w:val="left"/>
            </w:pPr>
            <w:hyperlink r:id="rId24" w:history="1">
              <w:r w:rsidR="00501D82" w:rsidRPr="008A0E3F">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proofErr w:type="spellStart"/>
            <w:r w:rsidRPr="00CE0CAD">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proofErr w:type="spellStart"/>
            <w:r w:rsidRPr="00CE0CAD">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5ACD46B0" w14:textId="610BC512" w:rsidR="000559C4" w:rsidRPr="00CE0CAD" w:rsidRDefault="00104624">
            <w:pPr>
              <w:widowControl w:val="0"/>
              <w:spacing w:before="0"/>
              <w:jc w:val="left"/>
            </w:pPr>
            <w:hyperlink r:id="rId25" w:history="1">
              <w:r w:rsidR="00FC23E9" w:rsidRPr="008A0E3F">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560"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D1367E3" w14:textId="78C3DF40" w:rsidR="000559C4" w:rsidRPr="00CE0CAD" w:rsidRDefault="00104624">
            <w:pPr>
              <w:widowControl w:val="0"/>
              <w:spacing w:before="0"/>
              <w:jc w:val="left"/>
            </w:pPr>
            <w:hyperlink r:id="rId26" w:history="1">
              <w:r w:rsidR="00FC23E9" w:rsidRPr="008A0E3F">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proofErr w:type="spellStart"/>
            <w:r w:rsidRPr="00CE0CAD">
              <w:t>Yuzu</w:t>
            </w:r>
            <w:proofErr w:type="spellEnd"/>
            <w:r w:rsidRPr="00CE0CAD">
              <w:t xml:space="preserve"> Browser</w:t>
            </w:r>
          </w:p>
        </w:tc>
        <w:tc>
          <w:tcPr>
            <w:tcW w:w="1560"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19892B74" w14:textId="27BC5808" w:rsidR="000559C4" w:rsidRPr="00CE0CAD" w:rsidRDefault="00104624">
            <w:pPr>
              <w:widowControl w:val="0"/>
              <w:spacing w:before="0"/>
              <w:jc w:val="left"/>
            </w:pPr>
            <w:hyperlink r:id="rId27" w:history="1">
              <w:r w:rsidR="00FC23E9" w:rsidRPr="008A0E3F">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proofErr w:type="spellStart"/>
            <w:r w:rsidRPr="00CE0CAD">
              <w:lastRenderedPageBreak/>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00FEFA07" w14:textId="228C666D" w:rsidR="000559C4" w:rsidRPr="00CE0CAD" w:rsidRDefault="00104624">
            <w:pPr>
              <w:widowControl w:val="0"/>
              <w:spacing w:before="0"/>
              <w:jc w:val="left"/>
            </w:pPr>
            <w:hyperlink r:id="rId28" w:history="1">
              <w:r w:rsidR="00FC23E9" w:rsidRPr="008A0E3F">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proofErr w:type="spellStart"/>
            <w:r w:rsidRPr="00CE0CAD">
              <w:t>Fennec</w:t>
            </w:r>
            <w:proofErr w:type="spellEnd"/>
            <w:r w:rsidRPr="00CE0CAD">
              <w:t xml:space="preserve"> F-</w:t>
            </w:r>
            <w:proofErr w:type="spellStart"/>
            <w:r w:rsidRPr="00CE0CAD">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1B3897AA" w14:textId="2AFDBED3" w:rsidR="000559C4" w:rsidRPr="00CE0CAD" w:rsidRDefault="00104624">
            <w:pPr>
              <w:widowControl w:val="0"/>
              <w:spacing w:before="0"/>
              <w:jc w:val="left"/>
            </w:pPr>
            <w:hyperlink r:id="rId29" w:history="1">
              <w:r w:rsidR="00FC23E9" w:rsidRPr="008A0E3F">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proofErr w:type="spellStart"/>
            <w:r w:rsidRPr="00CE0CAD">
              <w:t>Ungoogled</w:t>
            </w:r>
            <w:proofErr w:type="spellEnd"/>
            <w:r w:rsidRPr="00CE0CAD">
              <w:t xml:space="preserve"> </w:t>
            </w:r>
            <w:proofErr w:type="spellStart"/>
            <w:r w:rsidRPr="00CE0CAD">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EB8E46C" w14:textId="404348C9" w:rsidR="000559C4" w:rsidRPr="00CE0CAD" w:rsidRDefault="00104624">
            <w:pPr>
              <w:widowControl w:val="0"/>
              <w:spacing w:before="0"/>
              <w:jc w:val="left"/>
            </w:pPr>
            <w:hyperlink r:id="rId30" w:history="1">
              <w:r w:rsidR="00FC23E9" w:rsidRPr="008A0E3F">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 xml:space="preserve">Firefox </w:t>
            </w:r>
            <w:proofErr w:type="spellStart"/>
            <w:r w:rsidRPr="00CE0CAD">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proofErr w:type="spellStart"/>
            <w:r w:rsidRPr="00CE0CAD">
              <w:t>Iridium</w:t>
            </w:r>
            <w:proofErr w:type="spellEnd"/>
            <w:r w:rsidRPr="00CE0CAD">
              <w:t xml:space="preserve"> Browser</w:t>
            </w:r>
          </w:p>
        </w:tc>
        <w:tc>
          <w:tcPr>
            <w:tcW w:w="1560"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B2C1D94" w14:textId="540C6D40" w:rsidR="000559C4" w:rsidRPr="00CE0CAD" w:rsidRDefault="00104624">
            <w:pPr>
              <w:widowControl w:val="0"/>
              <w:spacing w:before="0"/>
              <w:jc w:val="left"/>
            </w:pPr>
            <w:hyperlink r:id="rId31" w:history="1">
              <w:r w:rsidR="00501D82" w:rsidRPr="00CE0CAD">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49B798EF" w14:textId="18C201A0" w:rsidR="000559C4" w:rsidRPr="00CE0CAD" w:rsidRDefault="00104624">
            <w:pPr>
              <w:widowControl w:val="0"/>
              <w:spacing w:before="0"/>
              <w:jc w:val="left"/>
            </w:pPr>
            <w:hyperlink r:id="rId32" w:history="1">
              <w:r w:rsidR="00FC23E9" w:rsidRPr="008A0E3F">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proofErr w:type="spellStart"/>
            <w:r w:rsidRPr="00CE0CAD">
              <w:t>Orfox</w:t>
            </w:r>
            <w:proofErr w:type="spellEnd"/>
            <w:r w:rsidRPr="00CE0CAD">
              <w:t xml:space="preserve"> Browser</w:t>
            </w:r>
          </w:p>
        </w:tc>
        <w:tc>
          <w:tcPr>
            <w:tcW w:w="1560"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8E4C0FB" w14:textId="71C3788C" w:rsidR="000559C4" w:rsidRPr="00CE0CAD" w:rsidRDefault="00104624">
            <w:pPr>
              <w:widowControl w:val="0"/>
              <w:spacing w:before="0"/>
              <w:jc w:val="left"/>
            </w:pPr>
            <w:hyperlink r:id="rId33" w:history="1">
              <w:r w:rsidR="00FC23E9" w:rsidRPr="008A0E3F">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proofErr w:type="spellStart"/>
            <w:r w:rsidRPr="00CE0CAD">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23F2981" w14:textId="31D226C2" w:rsidR="000559C4" w:rsidRPr="00CE0CAD" w:rsidRDefault="00104624">
            <w:pPr>
              <w:widowControl w:val="0"/>
              <w:spacing w:before="0"/>
              <w:jc w:val="left"/>
            </w:pPr>
            <w:hyperlink r:id="rId34" w:history="1">
              <w:r w:rsidR="00FC23E9" w:rsidRPr="008A0E3F">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560"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E2F88EB" w14:textId="6F0F008B" w:rsidR="000559C4" w:rsidRPr="00CE0CAD" w:rsidRDefault="00104624">
            <w:pPr>
              <w:widowControl w:val="0"/>
              <w:spacing w:before="0"/>
              <w:jc w:val="left"/>
            </w:pPr>
            <w:hyperlink r:id="rId35" w:history="1">
              <w:r w:rsidR="00FC23E9" w:rsidRPr="008A0E3F">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2DFD0FA" w14:textId="685C2433" w:rsidR="000559C4" w:rsidRPr="00CE0CAD" w:rsidRDefault="00104624">
            <w:pPr>
              <w:widowControl w:val="0"/>
              <w:spacing w:before="0"/>
              <w:jc w:val="left"/>
            </w:pPr>
            <w:hyperlink r:id="rId36" w:history="1">
              <w:r w:rsidR="00FC23E9" w:rsidRPr="008A0E3F">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CE0CAD" w:rsidRDefault="00C15F26">
            <w:pPr>
              <w:widowControl w:val="0"/>
              <w:spacing w:before="0"/>
              <w:jc w:val="left"/>
            </w:pPr>
            <w:proofErr w:type="spellStart"/>
            <w:r w:rsidRPr="00CE0CAD">
              <w:t>Ducky</w:t>
            </w:r>
            <w:proofErr w:type="spellEnd"/>
            <w:r w:rsidRPr="00CE0CAD">
              <w:t xml:space="preserve"> Browser</w:t>
            </w:r>
          </w:p>
        </w:tc>
        <w:tc>
          <w:tcPr>
            <w:tcW w:w="1560"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1E356DE" w14:textId="45CB388C" w:rsidR="000559C4" w:rsidRPr="00CE0CAD" w:rsidRDefault="00104624">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lastRenderedPageBreak/>
        <w:t>4.4.2 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9D1969" w:rsidRDefault="005D52C6" w:rsidP="009D1969">
      <w:pPr>
        <w:jc w:val="center"/>
        <w:rPr>
          <w:b/>
          <w:bCs/>
        </w:rPr>
      </w:pPr>
      <w:r w:rsidRPr="009D1969">
        <w:rPr>
          <w:b/>
          <w:bCs/>
        </w:rPr>
        <w:t>Tabela 3</w:t>
      </w:r>
      <w:r w:rsidR="009D1969" w:rsidRPr="009D1969">
        <w:rPr>
          <w:b/>
          <w:bCs/>
        </w:rPr>
        <w:t>.</w:t>
      </w:r>
      <w:r w:rsidRPr="009D1969">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lastRenderedPageBreak/>
              <w:t>L(</w:t>
            </w:r>
            <w:proofErr w:type="spellStart"/>
            <w:r w:rsidRPr="005A48BC">
              <w:t>Groovy</w:t>
            </w:r>
            <w:proofErr w:type="spellEnd"/>
            <w:r w:rsidRPr="005A48BC">
              <w:t>)</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proofErr w:type="spellStart"/>
            <w:r w:rsidR="005F1827" w:rsidRPr="005A48BC">
              <w:t>Kotlin</w:t>
            </w:r>
            <w:proofErr w:type="spellEnd"/>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2CD1C2DD" w14:textId="1153DD8A" w:rsidR="000F24D2" w:rsidRDefault="00804176" w:rsidP="000F24D2">
      <w:r>
        <w:t>A Figura 1</w:t>
      </w:r>
      <w:r w:rsidR="00FC07B7">
        <w:t xml:space="preserve"> apresenta </w:t>
      </w:r>
      <w:r w:rsidR="007C38B4">
        <w:t>os gráficos das distribuições acumuladas das métricas estruturais</w:t>
      </w:r>
      <w:r w:rsidR="00FC07B7">
        <w:t>.</w:t>
      </w:r>
      <w:r w:rsidR="00BF3669">
        <w:t xml:space="preserve"> As Figuras 1(a)</w:t>
      </w:r>
      <w:r w:rsidR="00D96EC4">
        <w:t xml:space="preserve">. </w:t>
      </w:r>
      <w:r w:rsidR="00BF3669">
        <w:t>1(b)</w:t>
      </w:r>
      <w:r w:rsidR="000F3178">
        <w:t>,</w:t>
      </w:r>
      <w:r w:rsidR="00D96EC4">
        <w:t xml:space="preserve"> 1(c)</w:t>
      </w:r>
      <w:r w:rsidR="000F3178">
        <w:t xml:space="preserve"> e 1(d)</w:t>
      </w:r>
      <w:r w:rsidR="00D96EC4">
        <w:t xml:space="preserve"> </w:t>
      </w:r>
      <w:r w:rsidR="00BF3669">
        <w:t xml:space="preserve">apresentam a distribuição acumulada das métricas </w:t>
      </w:r>
      <w:r w:rsidR="003B0465">
        <w:t>AHF</w:t>
      </w:r>
      <w:r w:rsidR="00D96EC4">
        <w:t xml:space="preserve">, </w:t>
      </w:r>
      <w:r w:rsidR="003B0465">
        <w:t>MHF</w:t>
      </w:r>
      <w:r w:rsidR="000F3178">
        <w:t>,</w:t>
      </w:r>
      <w:r w:rsidR="00D96EC4">
        <w:t xml:space="preserve"> MIF</w:t>
      </w:r>
      <w:r w:rsidR="000F3178">
        <w:t xml:space="preserve"> e PF</w:t>
      </w:r>
      <w:r w:rsidR="00D96EC4">
        <w:t xml:space="preserve"> respectivamente. N</w:t>
      </w:r>
      <w:r w:rsidR="003B0465">
        <w:t xml:space="preserve">estas métricas, as classes apresentam resultados semelhantes, estando concentrados em sua maior parte nos valores mais altos. </w:t>
      </w:r>
      <w:r w:rsidR="000F3178">
        <w:t>Em relação as métricas AHF e MIF, estes valores altos</w:t>
      </w:r>
      <w:r w:rsidR="00026C5C">
        <w:t xml:space="preserve"> indica que as classes possuem muitos </w:t>
      </w:r>
      <w:r w:rsidR="000F3178">
        <w:t xml:space="preserve">atributos </w:t>
      </w:r>
      <w:r w:rsidR="00026C5C">
        <w:t xml:space="preserve">e </w:t>
      </w:r>
      <w:r w:rsidR="000F3178">
        <w:t>métodos</w:t>
      </w:r>
      <w:r w:rsidR="00026C5C">
        <w:t xml:space="preserve"> estão encapsulados, ou seja, não estão acessíveis às outras classes</w:t>
      </w:r>
      <w:r w:rsidR="000F3178">
        <w:t>, ou somente acessíveis às classes que realizam herança</w:t>
      </w:r>
      <w:r w:rsidR="00026C5C">
        <w:t>.</w:t>
      </w:r>
      <w:r w:rsidR="000F3178">
        <w:t xml:space="preserve"> Além disto, os altos valores da métrica MIF indica que o nível de reuso foi alto</w:t>
      </w:r>
      <w:r w:rsidR="001F3210">
        <w:t>. Por último, a métrica PF apresenta uma concentração dos resultados nos valores mais altos, onde isto indica uma alta presença de polimorfismo.</w:t>
      </w:r>
      <w:r w:rsidR="000F24D2">
        <w:t xml:space="preserve"> </w:t>
      </w:r>
      <w:r w:rsidR="004B4CF5">
        <w:t xml:space="preserve">Analisando as demais métricas estruturais, percebe-se que </w:t>
      </w:r>
      <w:r w:rsidR="00D96EC4">
        <w:t xml:space="preserve">os resultados das classes estão diferentes. </w:t>
      </w:r>
    </w:p>
    <w:p w14:paraId="5966A969" w14:textId="15AA2BAE" w:rsidR="00947E58" w:rsidRDefault="00947E58" w:rsidP="000F24D2">
      <w:r>
        <w:tab/>
      </w:r>
      <w:r w:rsidRPr="00947E58">
        <w:t xml:space="preserve">As métricas AHF e MHF </w:t>
      </w:r>
      <w:r>
        <w:t>p</w:t>
      </w:r>
      <w:r w:rsidRPr="00947E58">
        <w:t>roporcionam uma visão a nível de sistema do encapsulamento das implementações. A ocultação de atributos é fundamental para garantir a independência das classes. Se duas ou mais classes tiverem acesso a manipulação direta de um mesmo atributo, é formado uma grande dependência entre as classes que o utilizam, o que pode tornar a manutenção do software mais difícil. Dessa forma, o ideal é que não haja atributos públicos nas classes, sendo o valor ideal para a métrica 1. Valores próximos de zero indicam baixa qualidade do software.</w:t>
      </w:r>
      <w:r>
        <w:t xml:space="preserve"> </w:t>
      </w:r>
      <w:r w:rsidRPr="00947E58">
        <w:t>A métrica MIF é um indicador do uso do recurso da herança nos softwares orientados por objeto. Valores próximos de 0 indicam que a herança está sendo pouco utilizada. Isso minimiza o reuso e a abstração provida pela herança em softwares orientados por objetos.</w:t>
      </w:r>
      <w:r>
        <w:t xml:space="preserve"> </w:t>
      </w:r>
      <w:r w:rsidRPr="00947E58">
        <w:t xml:space="preserve">Na métrica PF valores próximos de 1 indicam alta utilização de </w:t>
      </w:r>
      <w:r>
        <w:t>polimorfismo</w:t>
      </w:r>
      <w:r w:rsidRPr="00947E58">
        <w:t xml:space="preserve"> e valores próximos de 0 indicam baixa utilização desse recurso.</w:t>
      </w:r>
    </w:p>
    <w:p w14:paraId="4C2CB324" w14:textId="7962D8F5" w:rsidR="000F24D2" w:rsidRDefault="000F24D2" w:rsidP="000F24D2">
      <w:r>
        <w:lastRenderedPageBreak/>
        <w:tab/>
      </w:r>
      <w:r w:rsidR="001F3210">
        <w:t xml:space="preserve">A Figura 1(e) apresenta os resultados relacionados a métrica RFC. </w:t>
      </w:r>
      <w:r w:rsidRPr="000F24D2">
        <w:t>A métrica RFC é um conjunto de métodos que podem potencialmente ser executados em resposta a uma mensagem recebida por um objeto daquela classe. Conforme a RFC aumenta, o trabalho necessário para o teste também aumenta porque a sequência de testes cresce.</w:t>
      </w:r>
      <w:r>
        <w:t xml:space="preserve"> A classe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 mais baixos, e consequente os melhores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4CA9DE47" w14:textId="2BC2EC8D" w:rsidR="00CF77D3" w:rsidRPr="006040A1" w:rsidRDefault="00CF77D3" w:rsidP="00CF77D3">
      <w:r>
        <w:tab/>
      </w:r>
      <w:r w:rsidRPr="006040A1">
        <w:t>A Figura 1(f) apresenta os resultados da métrica WMC. A métrica WMC é a soma ponderada de uma classe. A métrica WMC é também uma medida ponderada do tamanho da classe. Valores altos indicam que uma classe pode ter muita responsabilidade. Isso reduzirá a reutilização da classe e complicará a implementação e o teste. 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resultados concentrados inferior a cinco.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602A2A69" w14:textId="2BC1255B" w:rsidR="00CF77D3" w:rsidRDefault="00CF77D3" w:rsidP="00CF77D3">
      <w:r>
        <w:tab/>
      </w:r>
      <w:r w:rsidRPr="00D91A1A">
        <w:t xml:space="preserve">A Figura 1(g), apresentada a seguir, 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 A métrica DIT é responsável por contabilizar o número de superclasse de cada classe de um sistema. Para esta métrica foi calculada a média das classes de cada classe de navegadores. Quanto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5B2E3357" w14:textId="1B72160D" w:rsidR="00FC23EC" w:rsidRPr="00FC23EC" w:rsidRDefault="006040A1" w:rsidP="00BF3669">
      <w:pPr>
        <w:rPr>
          <w:sz w:val="20"/>
          <w:szCs w:val="20"/>
        </w:rPr>
      </w:pPr>
      <w:r>
        <w:rPr>
          <w:noProof/>
          <w:sz w:val="20"/>
          <w:szCs w:val="20"/>
        </w:rPr>
        <w:lastRenderedPageBreak/>
        <w:drawing>
          <wp:inline distT="0" distB="0" distL="0" distR="0" wp14:anchorId="02C4BE94" wp14:editId="09697B86">
            <wp:extent cx="5760720" cy="6925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as_Metricas.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inline>
        </w:drawing>
      </w:r>
    </w:p>
    <w:p w14:paraId="196A599C" w14:textId="1C0BED85" w:rsidR="001003A9" w:rsidRPr="00CF77D3" w:rsidRDefault="005877BD" w:rsidP="00CF77D3">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91A1A">
        <w:rPr>
          <w:i/>
          <w:iCs/>
          <w:sz w:val="20"/>
          <w:szCs w:val="20"/>
        </w:rPr>
        <w:t>Estruturais</w:t>
      </w:r>
    </w:p>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2406EFAC"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 onde está métrica </w:t>
      </w:r>
      <w:r w:rsidR="001D6E02" w:rsidRPr="001D6E02">
        <w:t>é o número de métodos que acessam um ou mais dos mesmos atributos.</w:t>
      </w:r>
      <w:r w:rsidR="001D6E02">
        <w:t xml:space="preserve"> </w:t>
      </w:r>
      <w:r w:rsidR="001D6E02" w:rsidRPr="001D6E02">
        <w:t>Se</w:t>
      </w:r>
      <w:r w:rsidR="00B70626">
        <w:t xml:space="preserve"> o resultado do</w:t>
      </w:r>
      <w:r w:rsidR="001D6E02" w:rsidRPr="001D6E02">
        <w:t xml:space="preserve"> LCOM for alto, métodos podem ser acoplados uns aos outros via atributos. Isso aumenta a complexidade do projeto de classe.</w:t>
      </w:r>
    </w:p>
    <w:p w14:paraId="0BA37564" w14:textId="40959FD8" w:rsidR="00EB0BD5" w:rsidRPr="00C17D1D" w:rsidRDefault="002F02D3" w:rsidP="004866E7">
      <w:pPr>
        <w:jc w:val="center"/>
      </w:pPr>
      <w:r>
        <w:rPr>
          <w:noProof/>
        </w:rPr>
        <w:lastRenderedPageBreak/>
        <w:drawing>
          <wp:inline distT="0" distB="0" distL="0" distR="0" wp14:anchorId="47220A25" wp14:editId="294FE45E">
            <wp:extent cx="5095875" cy="2505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OM.jpeg"/>
                    <pic:cNvPicPr/>
                  </pic:nvPicPr>
                  <pic:blipFill>
                    <a:blip r:embed="rId39">
                      <a:extLst>
                        <a:ext uri="{28A0092B-C50C-407E-A947-70E740481C1C}">
                          <a14:useLocalDpi xmlns:a14="http://schemas.microsoft.com/office/drawing/2010/main" val="0"/>
                        </a:ext>
                      </a:extLst>
                    </a:blip>
                    <a:stretch>
                      <a:fillRect/>
                    </a:stretch>
                  </pic:blipFill>
                  <pic:spPr>
                    <a:xfrm>
                      <a:off x="0" y="0"/>
                      <a:ext cx="5095875" cy="2505075"/>
                    </a:xfrm>
                    <a:prstGeom prst="rect">
                      <a:avLst/>
                    </a:prstGeom>
                  </pic:spPr>
                </pic:pic>
              </a:graphicData>
            </a:graphic>
          </wp:inline>
        </w:drawing>
      </w:r>
    </w:p>
    <w:p w14:paraId="2B84A52A" w14:textId="725A4F27" w:rsidR="00EB0BD5" w:rsidRPr="00C17D1D" w:rsidRDefault="00C13975" w:rsidP="004866E7">
      <w:r w:rsidRPr="00294813">
        <w:rPr>
          <w:b/>
          <w:bCs/>
          <w:sz w:val="20"/>
          <w:szCs w:val="20"/>
        </w:rPr>
        <w:t xml:space="preserve">Figura </w:t>
      </w:r>
      <w:r w:rsidR="00AF3EE6">
        <w:rPr>
          <w:b/>
          <w:bCs/>
          <w:sz w:val="20"/>
          <w:szCs w:val="20"/>
        </w:rPr>
        <w:t>2</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Distribuição Acumulativa das Métricas de</w:t>
      </w:r>
      <w:r>
        <w:rPr>
          <w:i/>
          <w:iCs/>
          <w:sz w:val="22"/>
          <w:szCs w:val="22"/>
        </w:rPr>
        <w:t xml:space="preserve"> Acoplamento</w:t>
      </w:r>
    </w:p>
    <w:p w14:paraId="7A196085" w14:textId="30DF60DD"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r w:rsidR="00DB220A">
        <w:t xml:space="preserve"> </w:t>
      </w:r>
      <w:r w:rsidR="00DB220A" w:rsidRPr="00DB220A">
        <w:t>À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p>
    <w:p w14:paraId="64659762" w14:textId="3D360494" w:rsidR="00846311" w:rsidRDefault="009D1969" w:rsidP="00846311">
      <w:pPr>
        <w:jc w:val="center"/>
      </w:pPr>
      <w:r>
        <w:rPr>
          <w:noProof/>
        </w:rPr>
        <w:drawing>
          <wp:inline distT="0" distB="0" distL="0" distR="0" wp14:anchorId="5C5A8964" wp14:editId="581D62EF">
            <wp:extent cx="5086350" cy="2486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O.jpeg"/>
                    <pic:cNvPicPr/>
                  </pic:nvPicPr>
                  <pic:blipFill>
                    <a:blip r:embed="rId40">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inline>
        </w:drawing>
      </w:r>
    </w:p>
    <w:p w14:paraId="0C2281A4" w14:textId="70EB96E5" w:rsidR="00846311" w:rsidRDefault="00846311" w:rsidP="004866E7">
      <w:pPr>
        <w:rPr>
          <w:sz w:val="20"/>
          <w:szCs w:val="20"/>
        </w:rPr>
      </w:pPr>
      <w:r w:rsidRPr="00294813">
        <w:rPr>
          <w:b/>
          <w:bCs/>
          <w:sz w:val="20"/>
          <w:szCs w:val="20"/>
        </w:rPr>
        <w:t xml:space="preserve">Figura </w:t>
      </w:r>
      <w:r>
        <w:rPr>
          <w:b/>
          <w:bCs/>
          <w:sz w:val="20"/>
          <w:szCs w:val="20"/>
        </w:rPr>
        <w:t>3</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846311">
        <w:rPr>
          <w:i/>
          <w:iCs/>
          <w:sz w:val="20"/>
          <w:szCs w:val="20"/>
        </w:rPr>
        <w:t>Coupling</w:t>
      </w:r>
      <w:proofErr w:type="spellEnd"/>
      <w:r w:rsidRPr="00846311">
        <w:rPr>
          <w:i/>
          <w:iCs/>
          <w:sz w:val="20"/>
          <w:szCs w:val="20"/>
        </w:rPr>
        <w:t xml:space="preserve"> </w:t>
      </w:r>
      <w:proofErr w:type="spellStart"/>
      <w:r w:rsidRPr="00846311">
        <w:rPr>
          <w:i/>
          <w:iCs/>
          <w:sz w:val="20"/>
          <w:szCs w:val="20"/>
        </w:rPr>
        <w:t>Between</w:t>
      </w:r>
      <w:proofErr w:type="spellEnd"/>
      <w:r w:rsidRPr="00846311">
        <w:rPr>
          <w:i/>
          <w:iCs/>
          <w:sz w:val="20"/>
          <w:szCs w:val="20"/>
        </w:rPr>
        <w:t xml:space="preserve"> </w:t>
      </w:r>
      <w:proofErr w:type="spellStart"/>
      <w:r w:rsidRPr="00846311">
        <w:rPr>
          <w:i/>
          <w:iCs/>
          <w:sz w:val="20"/>
          <w:szCs w:val="20"/>
        </w:rPr>
        <w:t>Objects</w:t>
      </w:r>
      <w:proofErr w:type="spellEnd"/>
      <w:r w:rsidRPr="00C13975">
        <w:rPr>
          <w:sz w:val="20"/>
          <w:szCs w:val="20"/>
        </w:rPr>
        <w:t xml:space="preserve"> (</w:t>
      </w:r>
      <w:r>
        <w:rPr>
          <w:sz w:val="20"/>
          <w:szCs w:val="20"/>
        </w:rPr>
        <w:t>CBO</w:t>
      </w:r>
      <w:r w:rsidRPr="00C13975">
        <w:rPr>
          <w:sz w:val="20"/>
          <w:szCs w:val="20"/>
        </w:rPr>
        <w:t>)</w:t>
      </w:r>
    </w:p>
    <w:p w14:paraId="1908BD57" w14:textId="35AB9221" w:rsidR="00846311" w:rsidRPr="00C17D1D" w:rsidRDefault="00EF43D0" w:rsidP="004866E7">
      <w:r>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Ou seja, os seus valores são os que estão concentrados nos maiores valores, chegando a ce</w:t>
      </w:r>
      <w:r w:rsidR="00DB220A">
        <w:t xml:space="preserve">rca de </w:t>
      </w:r>
      <w:r w:rsidR="00DB220A">
        <w:lastRenderedPageBreak/>
        <w:t>noventa por cento dos seus valores estarem distribuídos entre dez e q</w:t>
      </w:r>
      <w:r w:rsidR="00DB220A" w:rsidRPr="000367DD">
        <w:t>uatorze.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a classe de segurança cerca de 90% está entre 2.000 e 6.000. A classe de navegadores tradicionais apresenta 80% das médias entre 2.000 e 4.000 linhas de código por pacote. Com isto, observa-se que a classe de navegadores focados em segurança são melhores distribuídos nos pacotes.</w:t>
      </w:r>
    </w:p>
    <w:p w14:paraId="65A31661" w14:textId="0D308C9F" w:rsidR="00BD6AFA" w:rsidRDefault="002C31F5" w:rsidP="00AB78DB">
      <w:r>
        <w:tab/>
      </w:r>
      <w:r w:rsidR="003B6E1A" w:rsidRPr="003B6E1A">
        <w:t xml:space="preserve">A </w:t>
      </w:r>
      <w:r w:rsidR="003B6E1A">
        <w:t xml:space="preserve">linguagem </w:t>
      </w:r>
      <w:proofErr w:type="spellStart"/>
      <w:r w:rsidR="00037F9E" w:rsidRPr="00037F9E">
        <w:rPr>
          <w:i/>
          <w:iCs/>
        </w:rPr>
        <w:t>Groovy</w:t>
      </w:r>
      <w:proofErr w:type="spellEnd"/>
      <w:r w:rsidR="00037F9E" w:rsidRPr="00037F9E">
        <w:t xml:space="preserve"> é</w:t>
      </w:r>
      <w:r w:rsidR="003B6E1A">
        <w:t xml:space="preserve"> </w:t>
      </w:r>
      <w:r w:rsidR="00037F9E" w:rsidRPr="00037F9E">
        <w:t xml:space="preserve">orientada a objetos </w:t>
      </w:r>
      <w:r w:rsidR="003B6E1A">
        <w:t xml:space="preserve">e foi </w:t>
      </w:r>
      <w:r w:rsidR="00037F9E" w:rsidRPr="00037F9E">
        <w:t xml:space="preserve">desenvolvida para a plataforma Java como alternativa à linguagem de programação </w:t>
      </w:r>
      <w:r w:rsidR="00037F9E" w:rsidRPr="00037F9E">
        <w:rPr>
          <w:i/>
          <w:iCs/>
        </w:rPr>
        <w:t>Java</w:t>
      </w:r>
      <w:r w:rsidR="00037F9E" w:rsidRPr="00037F9E">
        <w:t xml:space="preserve">. </w:t>
      </w:r>
      <w:proofErr w:type="spellStart"/>
      <w:r w:rsidR="00037F9E" w:rsidRPr="00037F9E">
        <w:rPr>
          <w:i/>
          <w:iCs/>
        </w:rPr>
        <w:t>Groovy</w:t>
      </w:r>
      <w:proofErr w:type="spellEnd"/>
      <w:r w:rsidR="00037F9E" w:rsidRPr="00037F9E">
        <w:t xml:space="preserve"> possui características de </w:t>
      </w:r>
      <w:r w:rsidR="00037F9E" w:rsidRPr="00037F9E">
        <w:rPr>
          <w:i/>
          <w:iCs/>
        </w:rPr>
        <w:t>Python</w:t>
      </w:r>
      <w:r w:rsidR="00037F9E" w:rsidRPr="00037F9E">
        <w:t xml:space="preserve">, </w:t>
      </w:r>
      <w:r w:rsidR="00037F9E" w:rsidRPr="00037F9E">
        <w:rPr>
          <w:i/>
          <w:iCs/>
        </w:rPr>
        <w:t>Ruby</w:t>
      </w:r>
      <w:r w:rsidR="00037F9E" w:rsidRPr="00037F9E">
        <w:t xml:space="preserve"> e </w:t>
      </w:r>
      <w:proofErr w:type="spellStart"/>
      <w:r w:rsidR="00037F9E" w:rsidRPr="00037F9E">
        <w:rPr>
          <w:i/>
          <w:iCs/>
        </w:rPr>
        <w:t>Smalltalk</w:t>
      </w:r>
      <w:proofErr w:type="spellEnd"/>
      <w:r w:rsidR="00037F9E" w:rsidRPr="00037F9E">
        <w:t>.</w:t>
      </w:r>
      <w:r w:rsidR="00037F9E">
        <w:t xml:space="preserve"> A Figura 4(c) apresenta a métrica de LOC da linguagem </w:t>
      </w:r>
      <w:proofErr w:type="spellStart"/>
      <w:r w:rsidR="00037F9E">
        <w:t>Groovy</w:t>
      </w:r>
      <w:proofErr w:type="spellEnd"/>
      <w:r w:rsidR="00327F4B">
        <w:t xml:space="preserve">, </w:t>
      </w:r>
      <w:r w:rsidR="00037F9E">
        <w:t xml:space="preserve">onde a </w:t>
      </w:r>
      <w:r w:rsidR="003B6E1A">
        <w:t>classe de navegador focado em segurança</w:t>
      </w:r>
      <w:r w:rsidR="00CD4BA6">
        <w:t xml:space="preserve"> cerca de sessenta por cento dos resultados estão concentrados entre zero e cerca de mil. </w:t>
      </w:r>
      <w:r w:rsidR="00347DE5">
        <w:t xml:space="preserve">A classe de privacidade apresenta </w:t>
      </w:r>
      <w:r w:rsidR="00943788">
        <w:t>os valores maiores concentrados na maior porcentagem da</w:t>
      </w:r>
      <w:r w:rsidR="00347DE5">
        <w:t xml:space="preserve"> distribuição</w:t>
      </w:r>
      <w:r w:rsidR="00943788">
        <w:t xml:space="preserve"> e consequentemente os maiores valores desta métrica.</w:t>
      </w:r>
      <w:r w:rsidR="002846B5">
        <w:t xml:space="preserve"> </w:t>
      </w:r>
      <w:r>
        <w:t>A Figura 4(</w:t>
      </w:r>
      <w:r w:rsidR="00AF2064">
        <w:t>e</w:t>
      </w:r>
      <w:r>
        <w:t xml:space="preserve">) apresenta os resultados da </w:t>
      </w:r>
      <w:r w:rsidRPr="002C31F5">
        <w:t xml:space="preserve">métrica de tamanho da linguagem de programação </w:t>
      </w:r>
      <w:proofErr w:type="spellStart"/>
      <w:r w:rsidRPr="002C31F5">
        <w:t>Kotlin</w:t>
      </w:r>
      <w:proofErr w:type="spellEnd"/>
      <w:r w:rsidRPr="002C31F5">
        <w:t xml:space="preserve"> mostra que os navegadores da classe tradicional possuem 90% do código estão em até 15.000 linhas de códigos escritas em </w:t>
      </w:r>
      <w:proofErr w:type="spellStart"/>
      <w:r w:rsidRPr="002C31F5">
        <w:t>Kotlin</w:t>
      </w:r>
      <w:proofErr w:type="spellEnd"/>
      <w:r w:rsidRPr="002C31F5">
        <w:t xml:space="preserve">.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1A8F6D95" w14:textId="0B6B9AFD" w:rsidR="00CF77D3" w:rsidRDefault="00CF77D3"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3B1E9608" w14:textId="4F309030" w:rsidR="00442729" w:rsidRDefault="00327F4B" w:rsidP="00AB78DB">
      <w:r>
        <w:rPr>
          <w:noProof/>
        </w:rPr>
        <w:lastRenderedPageBreak/>
        <w:drawing>
          <wp:inline distT="0" distB="0" distL="0" distR="0" wp14:anchorId="15185270" wp14:editId="514E840F">
            <wp:extent cx="5760720" cy="495871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das_Metricas.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35810229" w14:textId="20DE5A07" w:rsidR="00442729" w:rsidRPr="00D97B4C" w:rsidRDefault="00442729" w:rsidP="00CF77D3">
      <w:pPr>
        <w:jc w:val="center"/>
      </w:pPr>
      <w:r w:rsidRPr="00294813">
        <w:rPr>
          <w:b/>
          <w:bCs/>
          <w:sz w:val="20"/>
          <w:szCs w:val="20"/>
        </w:rPr>
        <w:t xml:space="preserve">Figura </w:t>
      </w:r>
      <w:r>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 Métricas de</w:t>
      </w:r>
      <w:r>
        <w:rPr>
          <w:sz w:val="20"/>
          <w:szCs w:val="20"/>
        </w:rPr>
        <w:t xml:space="preserv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049DF960" w:rsidR="00A04EC0" w:rsidRDefault="00A04EC0" w:rsidP="0000176D">
      <w:r>
        <w:tab/>
        <w:t>A primeira analise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1CC2B54A" w:rsidR="000367DD" w:rsidRDefault="000367DD" w:rsidP="0000176D">
      <w:r>
        <w:tab/>
        <w:t xml:space="preserve">A próxima analise é feita em relação ao resultado da métrica apresentada na categoria de acoplamento, onde nesta categoria foi realizado a aplicação apenas da métrica CBO. </w:t>
      </w:r>
      <w:r w:rsidR="00990D33">
        <w:t xml:space="preserve">Nesta </w:t>
      </w:r>
      <w:r w:rsidR="00990D33">
        <w:lastRenderedPageBreak/>
        <w:t>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7820A81C"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proofErr w:type="spellStart"/>
      <w:r w:rsidR="00136A8C">
        <w:t>analises</w:t>
      </w:r>
      <w:proofErr w:type="spellEnd"/>
      <w:r w:rsidR="00136A8C">
        <w:t xml:space="preserve">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5FCAD2AE"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p w14:paraId="030153AD" w14:textId="3BC399BA" w:rsidR="00CC392E" w:rsidRPr="009D1969" w:rsidRDefault="00CC392E" w:rsidP="009D1969">
      <w:pPr>
        <w:jc w:val="center"/>
        <w:rPr>
          <w:b/>
          <w:bCs/>
        </w:rPr>
      </w:pPr>
      <w:r w:rsidRPr="009D1969">
        <w:rPr>
          <w:b/>
          <w:bCs/>
        </w:rPr>
        <w:t>Tabela 4: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251AE5" w:rsidRDefault="00A364D3" w:rsidP="00A364D3">
            <w:pPr>
              <w:jc w:val="center"/>
              <w:rPr>
                <w:b/>
                <w:bCs/>
              </w:rPr>
            </w:pPr>
            <w:r w:rsidRPr="00251AE5">
              <w:rPr>
                <w:b/>
                <w:bCs/>
              </w:rPr>
              <w:t>Pergunta</w:t>
            </w:r>
          </w:p>
        </w:tc>
        <w:tc>
          <w:tcPr>
            <w:tcW w:w="3142" w:type="dxa"/>
          </w:tcPr>
          <w:p w14:paraId="08488933" w14:textId="720A0683" w:rsidR="00A364D3" w:rsidRPr="00251AE5" w:rsidRDefault="00A364D3" w:rsidP="00A364D3">
            <w:pPr>
              <w:jc w:val="center"/>
              <w:rPr>
                <w:b/>
                <w:bCs/>
              </w:rPr>
            </w:pPr>
            <w:r w:rsidRPr="00251AE5">
              <w:rPr>
                <w:b/>
                <w:bCs/>
              </w:rPr>
              <w:t>Resposta</w:t>
            </w:r>
          </w:p>
        </w:tc>
        <w:tc>
          <w:tcPr>
            <w:tcW w:w="2767" w:type="dxa"/>
          </w:tcPr>
          <w:p w14:paraId="7A47074D" w14:textId="4B52428E" w:rsidR="00A364D3" w:rsidRPr="00251AE5" w:rsidRDefault="00A364D3" w:rsidP="00A364D3">
            <w:pPr>
              <w:jc w:val="center"/>
              <w:rPr>
                <w:b/>
                <w:bCs/>
              </w:rPr>
            </w:pPr>
            <w:r w:rsidRPr="00251AE5">
              <w:rPr>
                <w:b/>
                <w:bCs/>
              </w:rPr>
              <w:t>Explicação</w:t>
            </w:r>
          </w:p>
        </w:tc>
      </w:tr>
      <w:tr w:rsidR="00A364D3" w14:paraId="6A1DCC86" w14:textId="11F0121B" w:rsidTr="00A364D3">
        <w:tc>
          <w:tcPr>
            <w:tcW w:w="3153" w:type="dxa"/>
          </w:tcPr>
          <w:p w14:paraId="3C099BFE" w14:textId="22B641E9" w:rsidR="00A364D3" w:rsidRPr="00251AE5" w:rsidRDefault="00A364D3" w:rsidP="0000176D">
            <w:r w:rsidRPr="00251AE5">
              <w:t>Qual a classe de navegador apresenta uma melhor qualidade das classes e funções?</w:t>
            </w:r>
          </w:p>
        </w:tc>
        <w:tc>
          <w:tcPr>
            <w:tcW w:w="3142" w:type="dxa"/>
          </w:tcPr>
          <w:p w14:paraId="57B23165" w14:textId="02CC115A" w:rsidR="00A364D3" w:rsidRPr="00251AE5" w:rsidRDefault="00731FFD" w:rsidP="0000176D">
            <w:r w:rsidRPr="00251AE5">
              <w:t>A classe de</w:t>
            </w:r>
            <w:r w:rsidR="00113A04" w:rsidRPr="00251AE5">
              <w:t xml:space="preserve"> </w:t>
            </w:r>
            <w:r w:rsidRPr="00251AE5">
              <w:t>privacidade apresent</w:t>
            </w:r>
            <w:r w:rsidR="00113A04" w:rsidRPr="00251AE5">
              <w:t>ou</w:t>
            </w:r>
            <w:r w:rsidRPr="00251AE5">
              <w:t xml:space="preserve"> o melhor resultado, considerando as métricas de coesão e estruturais.</w:t>
            </w:r>
          </w:p>
        </w:tc>
        <w:tc>
          <w:tcPr>
            <w:tcW w:w="2767" w:type="dxa"/>
          </w:tcPr>
          <w:p w14:paraId="41F35679" w14:textId="7A9A2E88" w:rsidR="00A364D3" w:rsidRPr="00251AE5" w:rsidRDefault="00731FFD" w:rsidP="0000176D">
            <w:r w:rsidRPr="00251AE5">
              <w:t xml:space="preserve">As métricas de coesão e estruturais, visam </w:t>
            </w:r>
            <w:r w:rsidR="00C10D9D" w:rsidRPr="00251AE5">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251AE5" w:rsidRDefault="00E90B66" w:rsidP="0000176D">
            <w:r w:rsidRPr="00251AE5">
              <w:t>Qual classe de navegador apresenta uma melhor distribuição do código por pacotes?</w:t>
            </w:r>
          </w:p>
        </w:tc>
        <w:tc>
          <w:tcPr>
            <w:tcW w:w="3142" w:type="dxa"/>
          </w:tcPr>
          <w:p w14:paraId="6479BC48" w14:textId="53A0F4B4" w:rsidR="00A364D3" w:rsidRPr="00251AE5" w:rsidRDefault="00796C45" w:rsidP="0000176D">
            <w:r w:rsidRPr="00251AE5">
              <w:t xml:space="preserve">A classe com melhor distribuição de linhas de código por pacote foi a de </w:t>
            </w:r>
            <w:r w:rsidR="005A16E8" w:rsidRPr="00251AE5">
              <w:t>privacidade</w:t>
            </w:r>
            <w:r w:rsidRPr="00251AE5">
              <w:t>.</w:t>
            </w:r>
          </w:p>
        </w:tc>
        <w:tc>
          <w:tcPr>
            <w:tcW w:w="2767" w:type="dxa"/>
          </w:tcPr>
          <w:p w14:paraId="25D3C8F3" w14:textId="0AB20E15" w:rsidR="00A364D3" w:rsidRPr="00251AE5" w:rsidRDefault="00796C45" w:rsidP="0000176D">
            <w:r w:rsidRPr="00251AE5">
              <w:t>Esta classe apresentou os maiores valores, onde cerca de 90% está entre 2.000 e 6.000.</w:t>
            </w:r>
          </w:p>
        </w:tc>
      </w:tr>
      <w:tr w:rsidR="00A364D3" w14:paraId="0B603CDC" w14:textId="48D0D5B6" w:rsidTr="00A364D3">
        <w:tc>
          <w:tcPr>
            <w:tcW w:w="3153" w:type="dxa"/>
          </w:tcPr>
          <w:p w14:paraId="7CDD357C" w14:textId="180CCE8C" w:rsidR="00A364D3" w:rsidRPr="00251AE5" w:rsidRDefault="00BE238C" w:rsidP="0000176D">
            <w:r w:rsidRPr="00251AE5">
              <w:t>Qual classe de navegador apresenta uma melhor coesão?</w:t>
            </w:r>
          </w:p>
        </w:tc>
        <w:tc>
          <w:tcPr>
            <w:tcW w:w="3142" w:type="dxa"/>
          </w:tcPr>
          <w:p w14:paraId="4D59DC2B" w14:textId="5F97C951" w:rsidR="00A364D3" w:rsidRPr="00251AE5" w:rsidRDefault="00BE238C" w:rsidP="0000176D">
            <w:r w:rsidRPr="00251AE5">
              <w:t xml:space="preserve">A classe de </w:t>
            </w:r>
            <w:r w:rsidR="00BB27E9" w:rsidRPr="00251AE5">
              <w:t>privacidade</w:t>
            </w:r>
            <w:r w:rsidRPr="00251AE5">
              <w:t xml:space="preserve"> foi a classe que apresentou melhores resultados</w:t>
            </w:r>
            <w:r w:rsidR="00B70626" w:rsidRPr="00251AE5">
              <w:t xml:space="preserve"> para a coesão.</w:t>
            </w:r>
          </w:p>
        </w:tc>
        <w:tc>
          <w:tcPr>
            <w:tcW w:w="2767" w:type="dxa"/>
          </w:tcPr>
          <w:p w14:paraId="0EA3933E" w14:textId="61B320CD" w:rsidR="00A364D3" w:rsidRPr="00251AE5" w:rsidRDefault="00B70626" w:rsidP="0000176D">
            <w:r w:rsidRPr="00251AE5">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251AE5">
              <w:t xml:space="preserve"> Com isto, a classe de navegadores focados em segurança </w:t>
            </w:r>
            <w:r w:rsidR="000A7603" w:rsidRPr="00251AE5">
              <w:lastRenderedPageBreak/>
              <w:t>apresentou os melhores resultados.</w:t>
            </w:r>
          </w:p>
        </w:tc>
      </w:tr>
      <w:tr w:rsidR="00A364D3" w14:paraId="661B0F81" w14:textId="3454691F" w:rsidTr="00A364D3">
        <w:tc>
          <w:tcPr>
            <w:tcW w:w="3153" w:type="dxa"/>
          </w:tcPr>
          <w:p w14:paraId="060B723B" w14:textId="0426DA99" w:rsidR="00A364D3" w:rsidRPr="00251AE5" w:rsidRDefault="00F56276" w:rsidP="0000176D">
            <w:r w:rsidRPr="00251AE5">
              <w:lastRenderedPageBreak/>
              <w:t>Qual classe de navegadores apresenta um melhor acoplamento?</w:t>
            </w:r>
          </w:p>
        </w:tc>
        <w:tc>
          <w:tcPr>
            <w:tcW w:w="3142" w:type="dxa"/>
          </w:tcPr>
          <w:p w14:paraId="0029FEA7" w14:textId="2FF5DBE9" w:rsidR="00A364D3" w:rsidRPr="00251AE5" w:rsidRDefault="00F56276" w:rsidP="0000176D">
            <w:r w:rsidRPr="00251AE5">
              <w:t>A classe</w:t>
            </w:r>
            <w:r w:rsidR="00BB27E9" w:rsidRPr="00251AE5">
              <w:t xml:space="preserve"> </w:t>
            </w:r>
            <w:r w:rsidRPr="00251AE5">
              <w:t xml:space="preserve">que </w:t>
            </w:r>
            <w:r w:rsidR="00BB27E9" w:rsidRPr="00251AE5">
              <w:t>obteve o</w:t>
            </w:r>
            <w:r w:rsidRPr="00251AE5">
              <w:t xml:space="preserve"> melhor</w:t>
            </w:r>
            <w:r w:rsidR="00BB27E9" w:rsidRPr="00251AE5">
              <w:t xml:space="preserve"> </w:t>
            </w:r>
            <w:r w:rsidRPr="00251AE5">
              <w:t>resultado</w:t>
            </w:r>
            <w:r w:rsidR="00BB27E9" w:rsidRPr="00251AE5">
              <w:t xml:space="preserve"> </w:t>
            </w:r>
            <w:r w:rsidRPr="00251AE5">
              <w:t>fo</w:t>
            </w:r>
            <w:r w:rsidR="00BB27E9" w:rsidRPr="00251AE5">
              <w:t xml:space="preserve">i </w:t>
            </w:r>
            <w:r w:rsidRPr="00251AE5">
              <w:t>a de navegadores focados em privacidade.</w:t>
            </w:r>
          </w:p>
        </w:tc>
        <w:tc>
          <w:tcPr>
            <w:tcW w:w="2767" w:type="dxa"/>
          </w:tcPr>
          <w:p w14:paraId="25519B90" w14:textId="0FBF22D6" w:rsidR="00A364D3" w:rsidRPr="00251AE5" w:rsidRDefault="00F56276" w:rsidP="0000176D">
            <w:r w:rsidRPr="00251AE5">
              <w:t xml:space="preserve">Para avaliar esta questão </w:t>
            </w:r>
            <w:r w:rsidR="00BB27E9" w:rsidRPr="00251AE5">
              <w:t>foi analisado a métrica CBO.</w:t>
            </w:r>
          </w:p>
        </w:tc>
      </w:tr>
      <w:tr w:rsidR="00A364D3" w14:paraId="6D94450F" w14:textId="46C999DC" w:rsidTr="00A364D3">
        <w:tc>
          <w:tcPr>
            <w:tcW w:w="3153" w:type="dxa"/>
          </w:tcPr>
          <w:p w14:paraId="372EA29B" w14:textId="1248B5FA" w:rsidR="00A364D3" w:rsidRPr="00251AE5" w:rsidRDefault="0019363D" w:rsidP="0000176D">
            <w:r w:rsidRPr="00251AE5">
              <w:t>Levando em consideração a preocupação com a segurança, os navegadores focados em segurança apresentam melhor índices de qualidade?</w:t>
            </w:r>
          </w:p>
        </w:tc>
        <w:tc>
          <w:tcPr>
            <w:tcW w:w="3142" w:type="dxa"/>
          </w:tcPr>
          <w:p w14:paraId="1320D4E6" w14:textId="12231084" w:rsidR="00A364D3" w:rsidRPr="00251AE5" w:rsidRDefault="00C32994" w:rsidP="0000176D">
            <w:r w:rsidRPr="00251AE5">
              <w:t>Não</w:t>
            </w:r>
          </w:p>
        </w:tc>
        <w:tc>
          <w:tcPr>
            <w:tcW w:w="2767" w:type="dxa"/>
          </w:tcPr>
          <w:p w14:paraId="3F206FC1" w14:textId="165D2FFA" w:rsidR="00A364D3" w:rsidRPr="00251AE5" w:rsidRDefault="00C32994" w:rsidP="0000176D">
            <w:r w:rsidRPr="00251AE5">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171EA28" w:rsidR="00BD7117" w:rsidRDefault="00BD7117" w:rsidP="00CC392E">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063CBE" w:rsidRDefault="00C15F26" w:rsidP="00063CBE">
      <w:pPr>
        <w:pStyle w:val="Ttulo2"/>
      </w:pPr>
      <w:r>
        <w:lastRenderedPageBreak/>
        <w:t>Referências</w:t>
      </w:r>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58530B40" w14:textId="2E767B6F" w:rsidR="000559C4" w:rsidRDefault="00C15F26" w:rsidP="00CF77D3">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126A1330" w14:textId="77777777" w:rsidR="00CF77D3" w:rsidRPr="00CF77D3" w:rsidRDefault="00CF77D3" w:rsidP="00CF77D3">
      <w:pPr>
        <w:pBdr>
          <w:top w:val="nil"/>
          <w:left w:val="nil"/>
          <w:bottom w:val="nil"/>
          <w:right w:val="nil"/>
          <w:between w:val="nil"/>
        </w:pBdr>
        <w:spacing w:before="0" w:after="200"/>
        <w:ind w:left="720"/>
        <w:jc w:val="left"/>
        <w:rPr>
          <w:rFonts w:ascii="Times New Roman" w:eastAsia="Times New Roman" w:hAnsi="Times New Roman" w:cs="Times New Roman"/>
          <w:lang w:val="en-US"/>
        </w:rPr>
      </w:pP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5" w:name="_1t3h5sf" w:colFirst="0" w:colLast="0"/>
      <w:bookmarkEnd w:id="5"/>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TANE</w:t>
      </w:r>
      <w:bookmarkStart w:id="6" w:name="_GoBack"/>
      <w:bookmarkEnd w:id="6"/>
      <w:r w:rsidRPr="00947E58">
        <w:t xml:space="preserv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3A05B" w14:textId="77777777" w:rsidR="00104624" w:rsidRDefault="00104624">
      <w:pPr>
        <w:spacing w:before="0"/>
      </w:pPr>
      <w:r>
        <w:separator/>
      </w:r>
    </w:p>
  </w:endnote>
  <w:endnote w:type="continuationSeparator" w:id="0">
    <w:p w14:paraId="65741961" w14:textId="77777777" w:rsidR="00104624" w:rsidRDefault="0010462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2E4115" w:rsidRPr="0067168E" w:rsidRDefault="002E411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2E4115" w:rsidRPr="0067168E" w:rsidRDefault="002E411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F91ED" w14:textId="77777777" w:rsidR="00104624" w:rsidRDefault="00104624">
      <w:pPr>
        <w:spacing w:before="0"/>
      </w:pPr>
      <w:r>
        <w:separator/>
      </w:r>
    </w:p>
  </w:footnote>
  <w:footnote w:type="continuationSeparator" w:id="0">
    <w:p w14:paraId="5F3A0952" w14:textId="77777777" w:rsidR="00104624" w:rsidRDefault="0010462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2E4115" w:rsidRDefault="002E4115">
    <w:r>
      <w:fldChar w:fldCharType="begin"/>
    </w:r>
    <w:r>
      <w:instrText>PAGE</w:instrText>
    </w:r>
    <w:r>
      <w:fldChar w:fldCharType="end"/>
    </w:r>
  </w:p>
  <w:p w14:paraId="5AC09D02" w14:textId="77777777" w:rsidR="002E4115" w:rsidRDefault="002E4115">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2E4115" w:rsidRDefault="002E4115"/>
  <w:p w14:paraId="714A3AD2" w14:textId="77777777" w:rsidR="002E4115" w:rsidRDefault="002E411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CBE"/>
    <w:rsid w:val="00072DD7"/>
    <w:rsid w:val="000753AB"/>
    <w:rsid w:val="00081006"/>
    <w:rsid w:val="000827F6"/>
    <w:rsid w:val="00087863"/>
    <w:rsid w:val="00092958"/>
    <w:rsid w:val="000A7603"/>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3E9B"/>
    <w:rsid w:val="001D2273"/>
    <w:rsid w:val="001D6E02"/>
    <w:rsid w:val="001E2E16"/>
    <w:rsid w:val="001E7A33"/>
    <w:rsid w:val="001F006F"/>
    <w:rsid w:val="001F3210"/>
    <w:rsid w:val="001F4239"/>
    <w:rsid w:val="001F50DD"/>
    <w:rsid w:val="00202A78"/>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4519"/>
    <w:rsid w:val="003F5294"/>
    <w:rsid w:val="00403DB9"/>
    <w:rsid w:val="00415A23"/>
    <w:rsid w:val="0042614F"/>
    <w:rsid w:val="00433088"/>
    <w:rsid w:val="00442729"/>
    <w:rsid w:val="004467F3"/>
    <w:rsid w:val="00457F01"/>
    <w:rsid w:val="00460EC3"/>
    <w:rsid w:val="00465197"/>
    <w:rsid w:val="0046560E"/>
    <w:rsid w:val="00465D33"/>
    <w:rsid w:val="004767C2"/>
    <w:rsid w:val="00484D7D"/>
    <w:rsid w:val="004866E7"/>
    <w:rsid w:val="00491C34"/>
    <w:rsid w:val="00494DE9"/>
    <w:rsid w:val="00497118"/>
    <w:rsid w:val="004A016F"/>
    <w:rsid w:val="004B4CF5"/>
    <w:rsid w:val="004C32F6"/>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F2FD2"/>
    <w:rsid w:val="0090424F"/>
    <w:rsid w:val="00907EAB"/>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7F0C"/>
    <w:rsid w:val="00B32EFE"/>
    <w:rsid w:val="00B33156"/>
    <w:rsid w:val="00B45B65"/>
    <w:rsid w:val="00B62557"/>
    <w:rsid w:val="00B62A10"/>
    <w:rsid w:val="00B65931"/>
    <w:rsid w:val="00B70626"/>
    <w:rsid w:val="00B74981"/>
    <w:rsid w:val="00B75E52"/>
    <w:rsid w:val="00B816FA"/>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6CFE"/>
    <w:rsid w:val="00CF77D3"/>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B0BD5"/>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8D9D-E6FE-43CA-B316-FFE36DEF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7013</TotalTime>
  <Pages>21</Pages>
  <Words>8543</Words>
  <Characters>46136</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298</cp:revision>
  <cp:lastPrinted>2019-10-25T17:09:00Z</cp:lastPrinted>
  <dcterms:created xsi:type="dcterms:W3CDTF">2019-09-06T13:53:00Z</dcterms:created>
  <dcterms:modified xsi:type="dcterms:W3CDTF">2019-11-03T20:27:00Z</dcterms:modified>
</cp:coreProperties>
</file>