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0" w:name="_30j0zll" w:colFirst="0" w:colLast="0"/>
      <w:bookmarkEnd w:id="0"/>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1" w:name="_1fob9te" w:colFirst="0" w:colLast="0"/>
      <w:bookmarkEnd w:id="1"/>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2" w:name="_3znysh7" w:colFirst="0" w:colLast="0"/>
      <w:bookmarkEnd w:id="2"/>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515097">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515097">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515097">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515097">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515097">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515097">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320610A7" w:rsidR="005877BD" w:rsidRDefault="00272F49" w:rsidP="00491C34">
      <w:r>
        <w:rPr>
          <w:noProof/>
        </w:rPr>
        <w:drawing>
          <wp:inline distT="0" distB="0" distL="0" distR="0" wp14:anchorId="2DB9B082" wp14:editId="06125E0B">
            <wp:extent cx="5760720" cy="28835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11C3B7FE"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w:t>
      </w:r>
      <w:r w:rsidR="002A5CD6">
        <w:lastRenderedPageBreak/>
        <w:t xml:space="preserve">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DE8E4F1" w:rsidR="00592C0B" w:rsidRDefault="00272F49" w:rsidP="00D12875">
      <w:r>
        <w:rPr>
          <w:noProof/>
        </w:rPr>
        <w:drawing>
          <wp:inline distT="0" distB="0" distL="0" distR="0" wp14:anchorId="7AA3C611" wp14:editId="1B8AF61B">
            <wp:extent cx="5760720" cy="2883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w:t>
      </w:r>
      <w:r w:rsidR="00F54041">
        <w:lastRenderedPageBreak/>
        <w:t xml:space="preserve">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D12875">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C0DB275" w:rsidR="006B420B" w:rsidRDefault="004F0FA2" w:rsidP="00D12875">
      <w:r>
        <w:rPr>
          <w:noProof/>
        </w:rPr>
        <w:drawing>
          <wp:inline distT="0" distB="0" distL="0" distR="0" wp14:anchorId="34841A35" wp14:editId="35142ED5">
            <wp:extent cx="5760720" cy="28835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 xml:space="preserve">A </w:t>
      </w:r>
      <w:r w:rsidR="00932125" w:rsidRPr="00932125">
        <w:lastRenderedPageBreak/>
        <w:t>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D12875">
      <w:r>
        <w:rPr>
          <w:noProof/>
        </w:rPr>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5105FB6D" w:rsidR="00EB0BD5" w:rsidRPr="00C17D1D" w:rsidRDefault="000A7603" w:rsidP="00551B8C">
      <w:pPr>
        <w:jc w:val="center"/>
      </w:pPr>
      <w:r>
        <w:rPr>
          <w:noProof/>
        </w:rPr>
        <w:lastRenderedPageBreak/>
        <w:drawing>
          <wp:inline distT="0" distB="0" distL="0" distR="0" wp14:anchorId="6D8B6B2C" wp14:editId="42EF3BC6">
            <wp:extent cx="3600000" cy="3600000"/>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OM_Media .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D12875">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15C2BA92" w:rsidR="00971D86" w:rsidRDefault="00D0579E" w:rsidP="008D434C">
      <w:pPr>
        <w:jc w:val="center"/>
      </w:pPr>
      <w:r>
        <w:rPr>
          <w:noProof/>
        </w:rPr>
        <w:lastRenderedPageBreak/>
        <w:drawing>
          <wp:inline distT="0" distB="0" distL="0" distR="0" wp14:anchorId="6A7C3C04" wp14:editId="371BCADC">
            <wp:extent cx="3503212" cy="3600000"/>
            <wp:effectExtent l="0" t="0" r="254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03212" cy="3600000"/>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294813">
      <w:r>
        <w:lastRenderedPageBreak/>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AE1EDCC" w:rsidR="00583DDB" w:rsidRDefault="00AC516B" w:rsidP="0039114A">
      <w:pPr>
        <w:jc w:val="center"/>
      </w:pPr>
      <w:r>
        <w:rPr>
          <w:noProof/>
        </w:rPr>
        <w:drawing>
          <wp:inline distT="0" distB="0" distL="0" distR="0" wp14:anchorId="286C810E" wp14:editId="56A15C39">
            <wp:extent cx="3600000" cy="3600000"/>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w:t>
      </w:r>
      <w:r w:rsidR="0062513F">
        <w:lastRenderedPageBreak/>
        <w:t>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lastRenderedPageBreak/>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w:t>
      </w:r>
      <w:bookmarkStart w:id="5" w:name="_GoBack"/>
      <w:bookmarkEnd w:id="5"/>
      <w:r w:rsidR="00A320C0">
        <w:t xml:space="preserve">maior parte das métricas coletadas. </w:t>
      </w:r>
    </w:p>
    <w:p w14:paraId="2CBC4F47" w14:textId="56ECC5D2" w:rsidR="000559C4" w:rsidRPr="00063CBE" w:rsidRDefault="00C15F26" w:rsidP="00063CBE">
      <w:pPr>
        <w:pStyle w:val="Ttulo2"/>
      </w:pPr>
      <w:r>
        <w:lastRenderedPageBreak/>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lastRenderedPageBreak/>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A320C0" w:rsidRDefault="00C15F26">
      <w:pPr>
        <w:pBdr>
          <w:top w:val="nil"/>
          <w:left w:val="nil"/>
          <w:bottom w:val="nil"/>
          <w:right w:val="nil"/>
          <w:between w:val="nil"/>
        </w:pBdr>
        <w:spacing w:before="0" w:after="200"/>
        <w:ind w:left="1440" w:hanging="720"/>
        <w:jc w:val="left"/>
        <w:rPr>
          <w:lang w:val="en-US"/>
        </w:rPr>
      </w:pPr>
      <w:r w:rsidRPr="00A320C0">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A320C0">
        <w:rPr>
          <w:lang w:val="en-US"/>
        </w:rPr>
        <w:t xml:space="preserve">TANENBAUM, A. S. Redes de </w:t>
      </w:r>
      <w:proofErr w:type="spellStart"/>
      <w:r w:rsidRPr="00A320C0">
        <w:rPr>
          <w:lang w:val="en-US"/>
        </w:rPr>
        <w:t>Computadores</w:t>
      </w:r>
      <w:proofErr w:type="spellEnd"/>
      <w:r w:rsidRPr="00A320C0">
        <w:rPr>
          <w:lang w:val="en-US"/>
        </w:rPr>
        <w:t xml:space="preserve"> 5ª ed. </w:t>
      </w:r>
      <w:r w:rsidRPr="00334BBD">
        <w:rPr>
          <w:lang w:val="en-US"/>
        </w:rPr>
        <w:t>São Paulo: Pearson, 2011.</w:t>
      </w:r>
    </w:p>
    <w:p w14:paraId="73985387" w14:textId="77777777" w:rsidR="000559C4" w:rsidRPr="00A320C0" w:rsidRDefault="00C15F26">
      <w:pPr>
        <w:pBdr>
          <w:top w:val="nil"/>
          <w:left w:val="nil"/>
          <w:bottom w:val="nil"/>
          <w:right w:val="nil"/>
          <w:between w:val="nil"/>
        </w:pBdr>
        <w:jc w:val="left"/>
        <w:rPr>
          <w:lang w:val="en-US"/>
        </w:rPr>
      </w:pPr>
      <w:r w:rsidRPr="00A320C0">
        <w:rPr>
          <w:lang w:val="en-US"/>
        </w:rPr>
        <w:t>Tor</w:t>
      </w:r>
      <w:r w:rsidRPr="00A320C0">
        <w:rPr>
          <w:color w:val="000000"/>
          <w:lang w:val="en-US"/>
        </w:rPr>
        <w:t xml:space="preserve">. (2017) “What is Tor Browser?”, </w:t>
      </w:r>
      <w:proofErr w:type="spellStart"/>
      <w:r w:rsidRPr="00A320C0">
        <w:rPr>
          <w:lang w:val="en-US"/>
        </w:rPr>
        <w:t>Disponível</w:t>
      </w:r>
      <w:proofErr w:type="spellEnd"/>
      <w:r w:rsidRPr="00A320C0">
        <w:rPr>
          <w:color w:val="000000"/>
          <w:lang w:val="en-US"/>
        </w:rPr>
        <w:t xml:space="preserve"> </w:t>
      </w:r>
      <w:proofErr w:type="spellStart"/>
      <w:r w:rsidRPr="00A320C0">
        <w:rPr>
          <w:color w:val="000000"/>
          <w:lang w:val="en-US"/>
        </w:rPr>
        <w:t>em</w:t>
      </w:r>
      <w:proofErr w:type="spellEnd"/>
      <w:r w:rsidRPr="00A320C0">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lastRenderedPageBreak/>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341BD" w14:textId="77777777" w:rsidR="00B946CC" w:rsidRDefault="00B946CC">
      <w:pPr>
        <w:spacing w:before="0"/>
      </w:pPr>
      <w:r>
        <w:separator/>
      </w:r>
    </w:p>
  </w:endnote>
  <w:endnote w:type="continuationSeparator" w:id="0">
    <w:p w14:paraId="21DBB872" w14:textId="77777777" w:rsidR="00B946CC" w:rsidRDefault="00B94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515097" w:rsidRPr="0067168E" w:rsidRDefault="0051509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515097" w:rsidRPr="0067168E" w:rsidRDefault="0051509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2EA9F" w14:textId="77777777" w:rsidR="00B946CC" w:rsidRDefault="00B946CC">
      <w:pPr>
        <w:spacing w:before="0"/>
      </w:pPr>
      <w:r>
        <w:separator/>
      </w:r>
    </w:p>
  </w:footnote>
  <w:footnote w:type="continuationSeparator" w:id="0">
    <w:p w14:paraId="41F6893A" w14:textId="77777777" w:rsidR="00B946CC" w:rsidRDefault="00B94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515097" w:rsidRDefault="00515097">
    <w:r>
      <w:fldChar w:fldCharType="begin"/>
    </w:r>
    <w:r>
      <w:instrText>PAGE</w:instrText>
    </w:r>
    <w:r>
      <w:fldChar w:fldCharType="end"/>
    </w:r>
  </w:p>
  <w:p w14:paraId="5AC09D02" w14:textId="77777777" w:rsidR="00515097" w:rsidRDefault="0051509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515097" w:rsidRDefault="00515097"/>
  <w:p w14:paraId="714A3AD2" w14:textId="77777777" w:rsidR="00515097" w:rsidRDefault="0051509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E2CE8"/>
    <w:rsid w:val="000F0AE3"/>
    <w:rsid w:val="000F61AC"/>
    <w:rsid w:val="000F78F7"/>
    <w:rsid w:val="000F7A10"/>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84D7D"/>
    <w:rsid w:val="00491C34"/>
    <w:rsid w:val="00494DE9"/>
    <w:rsid w:val="004A016F"/>
    <w:rsid w:val="004C32F6"/>
    <w:rsid w:val="004D2D1E"/>
    <w:rsid w:val="004E1E7F"/>
    <w:rsid w:val="004F0FA2"/>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926A4"/>
    <w:rsid w:val="006937F4"/>
    <w:rsid w:val="006A2B6F"/>
    <w:rsid w:val="006B420B"/>
    <w:rsid w:val="006B7896"/>
    <w:rsid w:val="006C38C8"/>
    <w:rsid w:val="006D15A3"/>
    <w:rsid w:val="006D2571"/>
    <w:rsid w:val="006D3F8A"/>
    <w:rsid w:val="006D5703"/>
    <w:rsid w:val="006F2596"/>
    <w:rsid w:val="007118A7"/>
    <w:rsid w:val="0071341B"/>
    <w:rsid w:val="00715994"/>
    <w:rsid w:val="0071603F"/>
    <w:rsid w:val="00724CA7"/>
    <w:rsid w:val="00731FFD"/>
    <w:rsid w:val="00734154"/>
    <w:rsid w:val="00755257"/>
    <w:rsid w:val="0076503E"/>
    <w:rsid w:val="00765FE7"/>
    <w:rsid w:val="007750E7"/>
    <w:rsid w:val="00776752"/>
    <w:rsid w:val="00790798"/>
    <w:rsid w:val="00796C45"/>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38C"/>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D5D0-F116-4633-8FE6-281572FC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5159</TotalTime>
  <Pages>24</Pages>
  <Words>8758</Words>
  <Characters>47297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198</cp:revision>
  <cp:lastPrinted>2019-09-23T00:12:00Z</cp:lastPrinted>
  <dcterms:created xsi:type="dcterms:W3CDTF">2019-09-06T13:53:00Z</dcterms:created>
  <dcterms:modified xsi:type="dcterms:W3CDTF">2019-10-08T02:23:00Z</dcterms:modified>
</cp:coreProperties>
</file>