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0"/>
          <w:szCs w:val="40"/>
        </w:rPr>
        <w:t xml:space="preserve">Projeto de Análise de Indicadores Econômicos em R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Descrição da versão atual do projeto</w:t>
      </w:r>
    </w:p>
    <w:p>
      <w:pPr>
        <w:pStyle w:val="Heading1"/>
        <w:spacing w:after="150" w:before="300"/>
      </w:pPr>
      <w:r>
        <w:t xml:space="preserve">Objetivo</w:t>
      </w:r>
    </w:p>
    <w:p>
      <w:pPr>
        <w:spacing w:after="120"/>
      </w:pPr>
      <w:r>
        <w:t xml:space="preserve">Projeto em R para análise estatística e econométrica dos principais indicadores de inflação da economia brasileira — IPCA, IPCA-15, INPC, IGP-DI e IGP-M — incluindo os grupos que compõem cada índice (ex.: alimentação, habitação), com foco tanto na análise individual de cada série quanto nas relações entre elas.</w:t>
      </w:r>
    </w:p>
    <w:p>
      <w:pPr>
        <w:pStyle w:val="Heading1"/>
        <w:spacing w:after="150" w:before="300"/>
      </w:pPr>
      <w:r>
        <w:t xml:space="preserve">Estrutura de pastas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EAF1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projeto-indicadores/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01_coleta.R                        # IPCA (headline + grupos) e headline dos demais índices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01b_coleta_inpc_ipca15_grupos.R    # INPC e IPCA-15 por grupo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02_tratamento.R                    # organização em séries temporais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03_exploratoria.R                  # estatísticas descritivas e gráficos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04_modelos.R                       # ARIMA, testes de raiz unitária, VAR, cointegração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funcoes_auxiliares.R               # funções utilitárias compartilhadas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data/raw/ , data/processed/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output/figuras/ , output/tabelas/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projeto-indicadores.Rproj</w:t>
      </w:r>
    </w:p>
    <w:p>
      <w:pPr>
        <w:pStyle w:val="Heading1"/>
        <w:spacing w:after="150" w:before="300"/>
      </w:pPr>
      <w:r>
        <w:t xml:space="preserve">Coleta de 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Índices headline (IPCA, IPCA-15, INPC, IGP-DI, IGP-M): via SGS/Banco Central (rbcb), usando os códigos de série 433, 7478, 188, 190 e 189.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IPCA por grupo: tabela SIDRA 7060.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INPC por grupo: tabela SIDRA 7063.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IPCA-15 por grupo: tabela SIDRA 7062.</w:t>
      </w:r>
    </w:p>
    <w:p>
      <w:pPr>
        <w:spacing w:after="200"/>
      </w:pPr>
      <w:r>
        <w:t xml:space="preserve">Em vez de fixar os códigos de variável e categoria de cada tabela (o que gerou erro na primeira versão, já que cada tabela numera essas variáveis de forma diferente), os scripts agora </w:t>
      </w:r>
      <w:r>
        <w:rPr>
          <w:b/>
          <w:bCs/>
        </w:rPr>
        <w:t xml:space="preserve">resolvem esses códigos dinamicamente em tempo de execução</w:t>
      </w:r>
      <w:r>
        <w:t xml:space="preserve">, consultando </w:t>
      </w:r>
      <w:r>
        <w:rPr>
          <w:rFonts w:ascii="Consolas" w:cs="Consolas" w:eastAsia="Consolas" w:hAnsi="Consolas"/>
          <w:sz w:val="20"/>
          <w:szCs w:val="20"/>
        </w:rPr>
        <w:t xml:space="preserve">sidrar::info_sidra()</w:t>
      </w:r>
      <w:r>
        <w:t xml:space="preserve"> e buscando pelo nome (ex.: "variação mensal", "habitação") — funções </w:t>
      </w:r>
      <w:r>
        <w:rPr>
          <w:rFonts w:ascii="Consolas" w:cs="Consolas" w:eastAsia="Consolas" w:hAnsi="Consolas"/>
          <w:sz w:val="20"/>
          <w:szCs w:val="20"/>
        </w:rPr>
        <w:t xml:space="preserve">resolver_variavel_sidra()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resolver_categorias_sidra()</w:t>
      </w:r>
      <w:r>
        <w:t xml:space="preserve">.</w:t>
      </w:r>
    </w:p>
    <w:p>
      <w:pPr>
        <w:pStyle w:val="Heading1"/>
        <w:spacing w:after="150" w:before="300"/>
      </w:pPr>
      <w:r>
        <w:t xml:space="preserve">Tratamento</w:t>
      </w:r>
    </w:p>
    <w:p>
      <w:pPr>
        <w:spacing w:after="120"/>
      </w:pPr>
      <w:r>
        <w:t xml:space="preserve">Conversão para formato largo (uma coluna por série), tsibble/xts para modelagem, e cálculo de variação acumulada em 12 meses para os grupos do IPCA.</w:t>
      </w:r>
    </w:p>
    <w:p>
      <w:pPr>
        <w:pStyle w:val="Heading1"/>
        <w:spacing w:after="150" w:before="300"/>
      </w:pPr>
      <w:r>
        <w:t xml:space="preserve">Análise exploratória</w:t>
      </w:r>
    </w:p>
    <w:p>
      <w:pPr>
        <w:spacing w:after="120"/>
      </w:pPr>
      <w:r>
        <w:t xml:space="preserve">Estatísticas descritivas (média, mediana, desvio-padrão) e matriz de correlação entre os índices headline.</w:t>
      </w:r>
    </w:p>
    <w:p>
      <w:pPr>
        <w:spacing w:after="200"/>
      </w:pPr>
      <w:r>
        <w:t xml:space="preserve">Os gráficos de evolução mensal são gerados </w:t>
      </w:r>
      <w:r>
        <w:rPr>
          <w:b/>
          <w:bCs/>
        </w:rPr>
        <w:t xml:space="preserve">um por série</w:t>
      </w:r>
      <w:r>
        <w:t xml:space="preserve"> (não mais um único gráfico com todas as linhas sobrepostas): a função </w:t>
      </w:r>
      <w:r>
        <w:rPr>
          <w:rFonts w:ascii="Consolas" w:cs="Consolas" w:eastAsia="Consolas" w:hAnsi="Consolas"/>
          <w:sz w:val="20"/>
          <w:szCs w:val="20"/>
        </w:rPr>
        <w:t xml:space="preserve">gerar_graficos_por_serie()</w:t>
      </w:r>
      <w:r>
        <w:t xml:space="preserve"> produz um .png para cada indicador headline (ex.: evolucao_indicadores_headline_ipca.png) e um para cada grupo do IPCA (ex.: evolucao_ipca_grupos_habitacao.png), com nomes de arquivo normalizados via </w:t>
      </w:r>
      <w:r>
        <w:rPr>
          <w:rFonts w:ascii="Consolas" w:cs="Consolas" w:eastAsia="Consolas" w:hAnsi="Consolas"/>
          <w:sz w:val="20"/>
          <w:szCs w:val="20"/>
        </w:rPr>
        <w:t xml:space="preserve">slug()</w:t>
      </w:r>
      <w:r>
        <w:t xml:space="preserve">.</w:t>
      </w:r>
    </w:p>
    <w:p>
      <w:pPr>
        <w:pStyle w:val="Heading1"/>
        <w:spacing w:after="150" w:before="300"/>
      </w:pPr>
      <w:r>
        <w:t xml:space="preserve">Modelagem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ARIMA (forecast::auto.arima) para o IPCA, com previsão de 6 meses.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raiz unitária (ADF e KPSS) para todos os índices headline.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 entre IPCA e IGP-M, com causalidade de Granger e função impulso-resposta.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de cointegração de Johansen entre IPCA e IGP-M.</w:t>
      </w:r>
    </w:p>
    <w:p>
      <w:pPr>
        <w:spacing w:after="200"/>
      </w:pPr>
      <w:r>
        <w:t xml:space="preserve">Correção de um conflito de namespace entre </w:t>
      </w:r>
      <w:r>
        <w:rPr>
          <w:rFonts w:ascii="Consolas" w:cs="Consolas" w:eastAsia="Consolas" w:hAnsi="Consolas"/>
          <w:sz w:val="20"/>
          <w:szCs w:val="20"/>
        </w:rPr>
        <w:t xml:space="preserve">dplyr::select()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MASS::select()</w:t>
      </w:r>
      <w:r>
        <w:t xml:space="preserve"> (o pacote vars carrega o MASS, que mascara o select do dplyr) — chamadas qualificadas explicitamente com </w:t>
      </w:r>
      <w:r>
        <w:rPr>
          <w:rFonts w:ascii="Consolas" w:cs="Consolas" w:eastAsia="Consolas" w:hAnsi="Consolas"/>
          <w:sz w:val="20"/>
          <w:szCs w:val="20"/>
        </w:rPr>
        <w:t xml:space="preserve">dplyr::</w:t>
      </w:r>
      <w:r>
        <w:t xml:space="preserve">.</w:t>
      </w:r>
    </w:p>
    <w:p>
      <w:pPr>
        <w:pStyle w:val="Heading1"/>
        <w:spacing w:after="150" w:before="300"/>
      </w:pPr>
      <w:r>
        <w:t xml:space="preserve">Pontos em aberto / próximos passos naturais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Estender a modelagem ARIMA para os demais índices (IPCA-15, INPC, IGP-DI, IGP-M).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Repetir o VAR/cointegração para outros pares de interesse (ex.: IPCA x INPC).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Estimar um VECM (tsDyn::VECM) caso a cointegração IPCA–IGP-M se confirme.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2026-08-13T19:41:51.909Z</dcterms:created>
  <dcterms:modified xsi:type="dcterms:W3CDTF">2026-08-13T19:41:51.909Z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