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9d9d9d"/>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2"/>
          <w:szCs w:val="22"/>
          <w:u w:val="none"/>
          <w:shd w:fill="auto" w:val="clear"/>
          <w:vertAlign w:val="baseline"/>
          <w:rtl w:val="0"/>
        </w:rPr>
        <w:t xml:space="preserve">13 </w:t>
      </w:r>
      <w:r w:rsidDel="00000000" w:rsidR="00000000" w:rsidRPr="00000000">
        <w:rPr>
          <w:rFonts w:ascii="Helvetica Neue" w:cs="Helvetica Neue" w:eastAsia="Helvetica Neue" w:hAnsi="Helvetica Neue"/>
          <w:b w:val="0"/>
          <w:i w:val="0"/>
          <w:smallCaps w:val="0"/>
          <w:strike w:val="0"/>
          <w:color w:val="9d9d9d"/>
          <w:sz w:val="16"/>
          <w:szCs w:val="16"/>
          <w:u w:val="none"/>
          <w:shd w:fill="auto" w:val="clear"/>
          <w:vertAlign w:val="baseline"/>
          <w:rtl w:val="0"/>
        </w:rPr>
        <w:t xml:space="preserve">Cuaderno n. 1, Mayo 2014. Modelo de Creación de Eventos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30.41133880615234" w:lineRule="auto"/>
        <w:ind w:left="877.7555084228516" w:right="0.009765625" w:hanging="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tampoco existe ninguna diferenciación. Teniendo en cuenta que el IVA pasó de un 10  a un 21% lo cual ha influido negativamente sobre todas las actividades culturales.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3.223876953125" w:line="228.9626169204712" w:lineRule="auto"/>
        <w:ind w:left="876.8740081787109" w:right="0" w:firstLine="578.3163452148438"/>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 la siguiente figura se muestra la representación esquemática del Business  Model Canvas aplicado al turismo y el flamenco. Cada uno de los módulos podría ser  susceptible de un estudio más profundo y pormenorizado que formará parte de  próximos trabajos publicables.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554443359375" w:line="240" w:lineRule="auto"/>
        <w:ind w:left="0" w:right="3820.8099365234375" w:firstLine="0"/>
        <w:jc w:val="right"/>
        <w:rPr>
          <w:rFonts w:ascii="Arial" w:cs="Arial" w:eastAsia="Arial" w:hAnsi="Arial"/>
          <w:b w:val="1"/>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Figura 3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014404296875" w:firstLine="0"/>
        <w:jc w:val="right"/>
        <w:rPr>
          <w:rFonts w:ascii="Arial" w:cs="Arial" w:eastAsia="Arial" w:hAnsi="Arial"/>
          <w:b w:val="1"/>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BUSINESS MODEL CANVAS – FLAMENCO PARA EL TURISMO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5.9228515625" w:line="201.05825901031494" w:lineRule="auto"/>
        <w:ind w:left="1159.988784790039" w:right="268.8122558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Pr>
        <w:drawing>
          <wp:inline distB="19050" distT="19050" distL="19050" distR="19050">
            <wp:extent cx="4937760" cy="52120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7760" cy="521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Fuente: Elaboración propia usando la herramienta de Marcelo Pizarro Miranda en  http://www.marcelopizarro.com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8.87847900390625" w:line="240" w:lineRule="auto"/>
        <w:ind w:left="592.5617218017578" w:right="0" w:firstLine="0"/>
        <w:jc w:val="left"/>
        <w:rPr>
          <w:rFonts w:ascii="Arial" w:cs="Arial" w:eastAsia="Arial" w:hAnsi="Arial"/>
          <w:b w:val="1"/>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5. CONCLUSIONES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9.20318603515625" w:line="229.16938304901123" w:lineRule="auto"/>
        <w:ind w:left="871.5670013427734" w:right="0.009765625" w:firstLine="583.6134338378906"/>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El flamenco es una marca de Andalucía y por extensión del resto de España. Es  una expresión del arte en tres modalidades: cante, baile y guitarra, no comparable a  ninguna otra expresión artística, por lo que fue declarado Patrimonio Inmaterial de la  Humanidad por la UNESCO en el año 2010. Esta declaratoria dio, aún más si cabe,  visibilidad a una expresión cultural propia que ya tenía demanda de turismo tanto fuera  como dentro de España. Sin embargo, no existe todavía una visión del flamenco como  producto de turismo cultural. Es, por ello, necesario plantear una estrategia de oferta  rentable y escalable para el turismo del flamenco. </w:t>
      </w:r>
    </w:p>
    <w:sectPr>
      <w:pgSz w:h="16840" w:w="11900" w:orient="portrait"/>
      <w:pgMar w:bottom="1976.7994689941406" w:top="515.5908203125" w:left="831.7879486083984" w:right="1633.8171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