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0" w:after="0"/>
        <w:rPr>
          <w:b/>
          <w:bCs/>
          <w:i/>
          <w:iCs/>
          <w:color w:val="2A6099"/>
        </w:rPr>
      </w:pPr>
      <w:r>
        <w:rPr>
          <w:b/>
          <w:bCs/>
          <w:i/>
          <w:iCs/>
          <w:color w:val="2A6099"/>
          <w:sz w:val="20"/>
          <w:szCs w:val="20"/>
        </w:rPr>
        <w:t xml:space="preserve">1 - Introdução </w:t>
      </w:r>
    </w:p>
    <w:p>
      <w:pPr>
        <w:pStyle w:val="BodyText"/>
        <w:spacing w:lineRule="auto" w:line="259" w:before="0" w:after="0"/>
        <w:rPr>
          <w:b/>
          <w:bCs/>
          <w:i/>
          <w:iCs/>
          <w:color w:val="2A6099"/>
        </w:rPr>
      </w:pPr>
      <w:r>
        <w:rPr>
          <w:b/>
          <w:bCs/>
          <w:i/>
          <w:iCs/>
          <w:color w:val="2A6099"/>
          <w:sz w:val="20"/>
          <w:szCs w:val="20"/>
        </w:rPr>
        <w:t xml:space="preserve">2 - Objetivo </w:t>
      </w:r>
    </w:p>
    <w:p>
      <w:pPr>
        <w:pStyle w:val="BodyText"/>
        <w:spacing w:lineRule="auto" w:line="259" w:before="0" w:after="0"/>
        <w:rPr>
          <w:b/>
          <w:bCs/>
          <w:i/>
          <w:iCs/>
          <w:color w:val="2A6099"/>
        </w:rPr>
      </w:pPr>
      <w:r>
        <w:rPr>
          <w:b/>
          <w:bCs/>
          <w:i/>
          <w:iCs/>
          <w:color w:val="2A6099"/>
          <w:sz w:val="20"/>
          <w:szCs w:val="20"/>
        </w:rPr>
        <w:t>3 - Casos de Uso (enunciado recebido)</w:t>
      </w:r>
    </w:p>
    <w:p>
      <w:pPr>
        <w:pStyle w:val="BodyText"/>
        <w:spacing w:lineRule="auto" w:line="259" w:before="0" w:after="0"/>
        <w:rPr>
          <w:b/>
          <w:bCs/>
          <w:i/>
          <w:iCs/>
          <w:color w:val="2A6099"/>
        </w:rPr>
      </w:pPr>
      <w:r>
        <w:rPr>
          <w:b/>
          <w:bCs/>
          <w:i/>
          <w:iCs/>
          <w:color w:val="2A6099"/>
          <w:sz w:val="20"/>
          <w:szCs w:val="20"/>
        </w:rPr>
        <w:t>4 - Levantamento e Descrição das Entidades</w:t>
      </w:r>
    </w:p>
    <w:p>
      <w:pPr>
        <w:pStyle w:val="BodyText"/>
        <w:spacing w:lineRule="auto" w:line="259" w:before="0" w:after="0"/>
        <w:rPr>
          <w:b/>
          <w:bCs/>
          <w:i/>
          <w:iCs/>
          <w:color w:val="2A6099"/>
        </w:rPr>
      </w:pPr>
      <w:r>
        <w:rPr>
          <w:b/>
          <w:bCs/>
          <w:i/>
          <w:iCs/>
          <w:color w:val="2A6099"/>
          <w:sz w:val="20"/>
          <w:szCs w:val="20"/>
        </w:rPr>
        <w:t>5 - Regras de Negócio</w:t>
      </w:r>
    </w:p>
    <w:p>
      <w:pPr>
        <w:pStyle w:val="Heading3"/>
        <w:spacing w:lineRule="auto" w:line="259" w:before="0" w:after="0"/>
        <w:rPr>
          <w:rFonts w:eastAsia="Aptos" w:cs="" w:cstheme="minorBidi" w:eastAsiaTheme="minorHAnsi"/>
          <w:b/>
          <w:bCs/>
          <w:i/>
          <w:iCs/>
          <w:color w:val="2A6099"/>
          <w:sz w:val="20"/>
          <w:szCs w:val="20"/>
          <w:u w:val="none"/>
          <w14:ligatures w14:val="standardContextual"/>
        </w:rPr>
      </w:pPr>
      <w:r>
        <w:rPr>
          <w:rFonts w:eastAsia="Aptos" w:cs="" w:cstheme="minorBidi" w:eastAsiaTheme="minorHAnsi"/>
          <w:b/>
          <w:bCs/>
          <w:i/>
          <w:iCs/>
          <w:color w:val="2A6099"/>
          <w:sz w:val="20"/>
          <w:szCs w:val="20"/>
          <w:u w:val="none"/>
          <w14:ligatures w14:val="standardContextual"/>
        </w:rPr>
        <w:t xml:space="preserve">   </w:t>
      </w:r>
      <w:r>
        <w:rPr>
          <w:rFonts w:eastAsia="Aptos" w:cs="" w:cstheme="minorBidi" w:eastAsiaTheme="minorHAnsi"/>
          <w:b/>
          <w:bCs/>
          <w:i/>
          <w:iCs/>
          <w:color w:val="2A6099"/>
          <w:sz w:val="20"/>
          <w:szCs w:val="20"/>
          <w:u w:val="none"/>
          <w14:ligatures w14:val="standardContextual"/>
        </w:rPr>
        <w:t>5.1 - Investidores</w:t>
      </w:r>
    </w:p>
    <w:p>
      <w:pPr>
        <w:pStyle w:val="Normal"/>
        <w:spacing w:lineRule="auto" w:line="259" w:before="0" w:after="0"/>
        <w:rPr>
          <w:rFonts w:eastAsia="Aptos" w:cs="" w:cstheme="minorBidi" w:eastAsiaTheme="minorHAnsi"/>
          <w:b/>
          <w:bCs/>
          <w:i/>
          <w:iCs/>
          <w:color w:val="2A6099"/>
          <w:sz w:val="20"/>
          <w:szCs w:val="20"/>
          <w:u w:val="none"/>
          <w14:ligatures w14:val="standardContextual"/>
        </w:rPr>
      </w:pPr>
      <w:r>
        <w:rPr>
          <w:rFonts w:eastAsia="Aptos" w:cs="" w:cstheme="minorBidi" w:eastAsiaTheme="minorHAnsi"/>
          <w:b/>
          <w:bCs/>
          <w:i/>
          <w:iCs/>
          <w:color w:val="2A6099"/>
          <w:sz w:val="20"/>
          <w:szCs w:val="20"/>
          <w:u w:val="none"/>
          <w14:ligatures w14:val="standardContextual"/>
        </w:rPr>
        <w:t xml:space="preserve">   </w:t>
      </w:r>
      <w:r>
        <w:rPr>
          <w:rFonts w:eastAsia="Aptos" w:cs="" w:cstheme="minorBidi" w:eastAsiaTheme="minorHAnsi"/>
          <w:b/>
          <w:bCs/>
          <w:i/>
          <w:iCs/>
          <w:color w:val="2A6099"/>
          <w:sz w:val="20"/>
          <w:szCs w:val="20"/>
          <w:u w:val="none"/>
          <w14:ligatures w14:val="standardContextual"/>
        </w:rPr>
        <w:t>5.2 - Ações</w:t>
      </w:r>
    </w:p>
    <w:p>
      <w:pPr>
        <w:pStyle w:val="Normal"/>
        <w:spacing w:lineRule="auto" w:line="259" w:before="0" w:after="0"/>
        <w:rPr>
          <w:rFonts w:eastAsia="Aptos" w:cs="" w:cstheme="minorBidi" w:eastAsiaTheme="minorHAnsi"/>
          <w:b/>
          <w:bCs/>
          <w:i/>
          <w:iCs/>
          <w:color w:val="2A6099"/>
          <w:sz w:val="20"/>
          <w:szCs w:val="20"/>
          <w:u w:val="none"/>
          <w14:ligatures w14:val="standardContextual"/>
        </w:rPr>
      </w:pPr>
      <w:r>
        <w:rPr>
          <w:rFonts w:eastAsia="Aptos" w:cs="" w:cstheme="minorBidi" w:eastAsiaTheme="minorHAnsi"/>
          <w:b/>
          <w:bCs/>
          <w:i/>
          <w:iCs/>
          <w:color w:val="2A6099"/>
          <w:sz w:val="20"/>
          <w:szCs w:val="20"/>
          <w:u w:val="none"/>
          <w14:ligatures w14:val="standardContextual"/>
        </w:rPr>
        <w:t xml:space="preserve">   </w:t>
      </w:r>
      <w:r>
        <w:rPr>
          <w:rFonts w:eastAsia="Aptos" w:cs="" w:cstheme="minorBidi" w:eastAsiaTheme="minorHAnsi"/>
          <w:b/>
          <w:bCs/>
          <w:i/>
          <w:iCs/>
          <w:color w:val="2A6099"/>
          <w:sz w:val="20"/>
          <w:szCs w:val="20"/>
          <w:u w:val="none"/>
          <w14:ligatures w14:val="standardContextual"/>
        </w:rPr>
        <w:t xml:space="preserve">5.3 - Negociações      </w:t>
      </w:r>
    </w:p>
    <w:p>
      <w:pPr>
        <w:pStyle w:val="Normal"/>
        <w:spacing w:lineRule="auto" w:line="259" w:before="0" w:after="0"/>
        <w:rPr>
          <w:rFonts w:eastAsia="Aptos" w:cs="" w:cstheme="minorBidi" w:eastAsiaTheme="minorHAnsi"/>
          <w:b/>
          <w:bCs/>
          <w:i/>
          <w:iCs/>
          <w:color w:val="2A6099"/>
          <w:sz w:val="20"/>
          <w:szCs w:val="20"/>
          <w:u w:val="none"/>
          <w14:ligatures w14:val="standardContextual"/>
        </w:rPr>
      </w:pPr>
      <w:r>
        <w:rPr>
          <w:rFonts w:eastAsia="Aptos" w:cs="" w:cstheme="minorBidi" w:eastAsiaTheme="minorHAnsi"/>
          <w:b/>
          <w:bCs/>
          <w:i/>
          <w:iCs/>
          <w:color w:val="2A6099"/>
          <w:sz w:val="20"/>
          <w:szCs w:val="20"/>
          <w:u w:val="none"/>
          <w14:ligatures w14:val="standardContextual"/>
        </w:rPr>
        <w:t xml:space="preserve">   </w:t>
      </w:r>
      <w:r>
        <w:rPr>
          <w:rFonts w:eastAsia="Aptos" w:cs="" w:cstheme="minorBidi" w:eastAsiaTheme="minorHAnsi"/>
          <w:b/>
          <w:bCs/>
          <w:i/>
          <w:iCs/>
          <w:color w:val="2A6099"/>
          <w:sz w:val="20"/>
          <w:szCs w:val="20"/>
          <w:u w:val="none"/>
          <w14:ligatures w14:val="standardContextual"/>
        </w:rPr>
        <w:t>5.4 - Histórico de Cotações</w:t>
      </w:r>
    </w:p>
    <w:p>
      <w:pPr>
        <w:pStyle w:val="Heading3"/>
        <w:spacing w:lineRule="auto" w:line="259" w:before="0" w:after="0"/>
        <w:rPr>
          <w:rFonts w:eastAsia="Aptos" w:cs="" w:cstheme="minorBidi" w:eastAsiaTheme="minorHAnsi"/>
          <w:b/>
          <w:bCs/>
          <w:i/>
          <w:iCs/>
          <w:color w:val="2A6099"/>
          <w:sz w:val="20"/>
          <w:szCs w:val="20"/>
          <w:u w:val="none"/>
          <w14:ligatures w14:val="standardContextual"/>
        </w:rPr>
      </w:pPr>
      <w:r>
        <w:rPr>
          <w:rFonts w:eastAsia="Aptos" w:cs="" w:cstheme="minorBidi" w:eastAsiaTheme="minorHAnsi"/>
          <w:b/>
          <w:bCs/>
          <w:i/>
          <w:iCs/>
          <w:color w:val="2A6099"/>
          <w:sz w:val="20"/>
          <w:szCs w:val="20"/>
          <w:u w:val="none"/>
          <w14:ligatures w14:val="standardContextual"/>
        </w:rPr>
        <w:t xml:space="preserve">   </w:t>
      </w:r>
      <w:r>
        <w:rPr>
          <w:rFonts w:eastAsia="Aptos" w:cs="" w:cstheme="minorBidi" w:eastAsiaTheme="minorHAnsi"/>
          <w:b/>
          <w:bCs/>
          <w:i/>
          <w:iCs/>
          <w:color w:val="2A6099"/>
          <w:sz w:val="20"/>
          <w:szCs w:val="20"/>
          <w:u w:val="none"/>
          <w14:ligatures w14:val="standardContextual"/>
        </w:rPr>
        <w:t>5.5 - Carteira do Investidor</w:t>
      </w:r>
    </w:p>
    <w:p>
      <w:pPr>
        <w:pStyle w:val="BodyText"/>
        <w:spacing w:lineRule="auto" w:line="259" w:before="0" w:after="0"/>
        <w:rPr>
          <w:b/>
          <w:bCs/>
          <w:i/>
          <w:iCs/>
          <w:color w:val="2A6099"/>
        </w:rPr>
      </w:pPr>
      <w:r>
        <w:rPr>
          <w:b/>
          <w:bCs/>
          <w:i/>
          <w:iCs/>
          <w:color w:val="2A6099"/>
          <w:sz w:val="20"/>
          <w:szCs w:val="20"/>
        </w:rPr>
        <w:t xml:space="preserve">6 - Modelo Conceitual </w:t>
      </w:r>
    </w:p>
    <w:p>
      <w:pPr>
        <w:pStyle w:val="BodyText"/>
        <w:spacing w:lineRule="auto" w:line="259" w:before="0" w:after="0"/>
        <w:rPr>
          <w:b/>
          <w:bCs/>
          <w:i/>
          <w:iCs/>
          <w:color w:val="2A6099"/>
        </w:rPr>
      </w:pPr>
      <w:r>
        <w:rPr>
          <w:b/>
          <w:bCs/>
          <w:i/>
          <w:iCs/>
          <w:color w:val="2A6099"/>
          <w:sz w:val="20"/>
          <w:szCs w:val="20"/>
        </w:rPr>
        <w:t xml:space="preserve">7 - Modelo Lógico </w:t>
      </w:r>
    </w:p>
    <w:p>
      <w:pPr>
        <w:pStyle w:val="BodyText"/>
        <w:spacing w:lineRule="auto" w:line="259" w:before="0" w:after="0"/>
        <w:rPr>
          <w:b/>
          <w:bCs/>
          <w:i/>
          <w:iCs/>
          <w:color w:val="2A6099"/>
        </w:rPr>
      </w:pPr>
      <w:r>
        <w:rPr>
          <w:b/>
          <w:bCs/>
          <w:i/>
          <w:iCs/>
          <w:color w:val="2A6099"/>
          <w:sz w:val="20"/>
          <w:szCs w:val="20"/>
        </w:rPr>
        <w:t xml:space="preserve">8 - Modelo Físico </w:t>
      </w:r>
    </w:p>
    <w:p>
      <w:pPr>
        <w:pStyle w:val="BodyText"/>
        <w:spacing w:lineRule="auto" w:line="259" w:before="0" w:after="0"/>
        <w:rPr>
          <w:b/>
          <w:bCs/>
          <w:i/>
          <w:iCs/>
          <w:color w:val="2A6099"/>
        </w:rPr>
      </w:pPr>
      <w:r>
        <w:rPr>
          <w:b/>
          <w:bCs/>
          <w:i/>
          <w:iCs/>
          <w:color w:val="2A6099"/>
          <w:sz w:val="20"/>
          <w:szCs w:val="20"/>
        </w:rPr>
        <w:t xml:space="preserve">9 - Scripts SQL </w:t>
      </w:r>
    </w:p>
    <w:p>
      <w:pPr>
        <w:pStyle w:val="BodyText"/>
        <w:spacing w:lineRule="auto" w:line="259" w:before="0" w:after="0"/>
        <w:rPr>
          <w:b/>
          <w:bCs/>
          <w:i/>
          <w:iCs/>
          <w:color w:val="2A6099"/>
        </w:rPr>
      </w:pPr>
      <w:r>
        <w:rPr>
          <w:b/>
          <w:bCs/>
          <w:i/>
          <w:iCs/>
          <w:color w:val="2A6099"/>
          <w:sz w:val="20"/>
          <w:szCs w:val="20"/>
        </w:rPr>
        <w:t xml:space="preserve">10 - Conclusão </w:t>
      </w:r>
    </w:p>
    <w:p>
      <w:pPr>
        <w:pStyle w:val="BodyText"/>
        <w:spacing w:lineRule="auto" w:line="259" w:before="0" w:after="0"/>
        <w:rPr>
          <w:b/>
          <w:bCs/>
          <w:i/>
          <w:iCs/>
          <w:color w:val="2A6099"/>
        </w:rPr>
      </w:pPr>
      <w:r>
        <w:rPr>
          <w:b/>
          <w:bCs/>
          <w:i/>
          <w:iCs/>
          <w:color w:val="2A6099"/>
          <w:sz w:val="20"/>
          <w:szCs w:val="20"/>
        </w:rPr>
        <w:t>11 - Referências</w:t>
      </w:r>
    </w:p>
    <w:p>
      <w:pPr>
        <w:pStyle w:val="Normal"/>
        <w:rPr>
          <w:b/>
          <w:bCs/>
          <w:i/>
          <w:iCs/>
          <w:color w:val="2A6099"/>
          <w:sz w:val="20"/>
          <w:szCs w:val="20"/>
        </w:rPr>
      </w:pPr>
      <w:r>
        <w:rPr>
          <w:b/>
          <w:bCs/>
          <w:i/>
          <w:iCs/>
          <w:color w:val="2A6099"/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before="0" w:after="0"/>
        <w:rPr/>
      </w:pPr>
      <w:r>
        <w:rPr>
          <w:b/>
          <w:bCs/>
          <w:i/>
          <w:iCs/>
          <w:color w:val="2A6099"/>
          <w:sz w:val="20"/>
          <w:szCs w:val="20"/>
        </w:rPr>
        <w:t>1 - Introdução</w:t>
      </w:r>
    </w:p>
    <w:p>
      <w:pPr>
        <w:pStyle w:val="BodyText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>A informação é o elemento central de qualquer sistema, independentemente do domínio de negócio. Nesse contexto, ao longo do tempo, diversas abordagens e metodologias foram desenvolvidas com o objetivo de estruturar, organizar e representar os dados de forma consistente, garantindo um correto entendimento do universo analisado.</w:t>
      </w:r>
    </w:p>
    <w:p>
      <w:pPr>
        <w:pStyle w:val="BodyText"/>
        <w:spacing w:lineRule="auto" w:line="259" w:before="0" w:after="160"/>
        <w:jc w:val="both"/>
        <w:rPr>
          <w:sz w:val="20"/>
          <w:szCs w:val="20"/>
        </w:rPr>
      </w:pPr>
      <w:r>
        <w:rPr>
          <w:sz w:val="20"/>
          <w:szCs w:val="20"/>
        </w:rPr>
        <w:t>Um marco importante nessa evolução foi a proposta do modelo Entidade-Relacionamento (ER), introduzido por Peter Chen na década de 1970. Esse modelo possibilita representar, de forma clara e estruturada, as entidades de um domínio e os relacionamentos entre elas, fornecendo uma visão conceitual alinhada ao mundo real.</w:t>
      </w:r>
    </w:p>
    <w:p>
      <w:pPr>
        <w:pStyle w:val="BodyText"/>
        <w:spacing w:lineRule="auto" w:line="259" w:before="0" w:after="160"/>
        <w:jc w:val="both"/>
        <w:rPr>
          <w:sz w:val="20"/>
          <w:szCs w:val="20"/>
        </w:rPr>
      </w:pPr>
      <w:r>
        <w:rPr>
          <w:sz w:val="20"/>
          <w:szCs w:val="20"/>
        </w:rPr>
        <w:t>A partir do modelo conceitual, evolui-se para o modelo lógico, que reduz o nível de abstração e traduz as entidades e relacionamentos em estruturas compatíveis com o modelo relacional, incorporando regras como definição de chaves primárias e estrangeiras. Por fim, o modelo físico detalha a implementação no sistema gerenciador de banco de dados (SGBD), incluindo tipos de dados, índices, restrições e scripts de definição de dados (DDL).</w:t>
      </w:r>
    </w:p>
    <w:p>
      <w:pPr>
        <w:pStyle w:val="BodyText"/>
        <w:spacing w:lineRule="auto" w:line="259" w:before="0" w:after="160"/>
        <w:jc w:val="both"/>
        <w:rPr>
          <w:sz w:val="20"/>
          <w:szCs w:val="20"/>
        </w:rPr>
      </w:pPr>
      <w:r>
        <w:rPr>
          <w:sz w:val="20"/>
          <w:szCs w:val="20"/>
        </w:rPr>
        <w:t>No contexto do mercado financeiro, especialmente em sistemas voltados para a bolsa de valores, a correta modelagem dos dados é fundamental para representar informações como investidores, ativos financeiros, transações e variações de cotação ao longo do tempo. Dessa forma, a utilização adequada dos modelos conceitual, lógico e físico torna-se essencial para garantir consistência, integridade e desempenho no armazenamento e na consulta dessas informações.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before="0" w:after="0"/>
        <w:rPr>
          <w:color w:val="2A6099"/>
        </w:rPr>
      </w:pPr>
      <w:r>
        <w:rPr>
          <w:b/>
          <w:bCs/>
          <w:i/>
          <w:iCs/>
          <w:color w:val="2A6099"/>
          <w:sz w:val="20"/>
          <w:szCs w:val="20"/>
        </w:rPr>
        <w:t>2 - Objetivo</w:t>
      </w:r>
    </w:p>
    <w:p>
      <w:pPr>
        <w:pStyle w:val="Normal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>Implementar tabelas de um banco de dados com características relacionais para um sistema de cotação de bolsa de valores, utilizando-se como metodologia modelos conceitual, lógico e físico.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Rule="auto" w:line="259" w:before="0" w:after="0"/>
        <w:rPr>
          <w:color w:val="2A6099"/>
        </w:rPr>
      </w:pPr>
      <w:r>
        <w:rPr>
          <w:b/>
          <w:bCs/>
          <w:i/>
          <w:iCs/>
          <w:color w:val="2A6099"/>
          <w:sz w:val="20"/>
          <w:szCs w:val="20"/>
        </w:rPr>
        <w:t>3 - Casos de Uso (enunciado recebido)</w:t>
      </w:r>
    </w:p>
    <w:p>
      <w:pPr>
        <w:pStyle w:val="BodyText"/>
        <w:spacing w:lineRule="auto" w:line="259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Rule="auto" w:line="259"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>Uma corretora deseja criar um sistema para gerenciar Investidores, Ações e suas Negociações na bolsa de valores. Cada Investidor deve ser identificado por um CPF ou CNPJ, além de possuir nome completo, tipo de investidor (pessoa física ou jurídica), e-mail e telefone. Já cada Ação pertence a uma Empresa listada na bolsa, identificada por seu ticker (código de negociação), além de atributos como nome da empresa, setor de atuação e valor de mercado.</w:t>
      </w:r>
    </w:p>
    <w:p>
      <w:pPr>
        <w:pStyle w:val="BodyText"/>
        <w:spacing w:lineRule="auto" w:line="259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Rule="auto" w:line="259"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>Os investidores podem realizar diversas Negociações (compra ou venda de ações). Para cada negociação, é necessário registrar data e hora da transação, tipo de operação (compra ou venda), quantidade de ações e valor unitário no momento da negociação.</w:t>
      </w:r>
    </w:p>
    <w:p>
      <w:pPr>
        <w:pStyle w:val="BodyText"/>
        <w:spacing w:lineRule="auto" w:line="259"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>Como um mesmo investidor pode negociar várias ações diferentes ao longo do tempo, e uma ação pode ser negociada por vários investidores, esse relacionamento precisa ser bem estruturado.</w:t>
      </w:r>
    </w:p>
    <w:p>
      <w:pPr>
        <w:pStyle w:val="BodyText"/>
        <w:spacing w:lineRule="auto" w:line="259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Rule="auto" w:line="259"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>Além das negociações, a corretora deseja manter o Histórico de Cotações das Ações, pois o preço de uma ação varia constantemente ao longo do dia. Esse histórico deve armazenar data, hora e valor da cotação para cada ação em determinado momento, permitindo análises de séries temporais e estudos de comportamento do mercado.</w:t>
      </w:r>
    </w:p>
    <w:p>
      <w:pPr>
        <w:pStyle w:val="BodyText"/>
        <w:spacing w:lineRule="auto" w:line="259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Rule="auto" w:line="259"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>Por fim, a corretora deseja acompanhar o Saldo de Carteira de cada investidor, que representa a posição atual (quantidade de ações mantidas). Esse saldo deve ser atualizado a partir das negociações realizadas, mas o sistema também deve permitir análises retrospectivas usando o histórico de cotações.</w:t>
      </w:r>
    </w:p>
    <w:p>
      <w:pPr>
        <w:pStyle w:val="BodyText"/>
        <w:spacing w:lineRule="auto" w:line="259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Rule="auto" w:line="259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Rule="auto" w:line="259" w:before="0" w:after="0"/>
        <w:rPr>
          <w:color w:val="2A6099"/>
        </w:rPr>
      </w:pPr>
      <w:r>
        <w:rPr>
          <w:b/>
          <w:bCs/>
          <w:i/>
          <w:iCs/>
          <w:color w:val="2A6099"/>
          <w:sz w:val="20"/>
          <w:szCs w:val="20"/>
        </w:rPr>
        <w:t>4 - Levantamento e Descrição das Entidades</w:t>
      </w:r>
    </w:p>
    <w:p>
      <w:pPr>
        <w:pStyle w:val="BodyText"/>
        <w:spacing w:lineRule="auto" w:line="259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Rule="auto" w:line="259" w:before="0" w:after="0"/>
        <w:rPr>
          <w:sz w:val="20"/>
          <w:szCs w:val="20"/>
        </w:rPr>
      </w:pPr>
      <w:r>
        <w:rPr>
          <w:sz w:val="20"/>
          <w:szCs w:val="20"/>
        </w:rPr>
        <w:t>Após análise do caso de uso foram mapeadas as entidades:</w:t>
      </w:r>
    </w:p>
    <w:tbl>
      <w:tblPr>
        <w:tblW w:w="9229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609"/>
        <w:gridCol w:w="6620"/>
      </w:tblGrid>
      <w:tr>
        <w:trPr>
          <w:trHeight w:val="415" w:hRule="atLeast"/>
        </w:trPr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</w:tcPr>
          <w:p>
            <w:pPr>
              <w:pStyle w:val="TableContents"/>
              <w:suppressAutoHyphens w:val="true"/>
              <w:bidi w:val="0"/>
              <w:spacing w:lineRule="auto" w:line="259" w:before="0" w:after="160"/>
              <w:jc w:val="start"/>
              <w:rPr>
                <w:color w:val="2A6099"/>
              </w:rPr>
            </w:pPr>
            <w:r>
              <w:rPr>
                <w:color w:val="2A6099"/>
              </w:rPr>
              <w:t>Entidade</w:t>
            </w:r>
          </w:p>
        </w:tc>
        <w:tc>
          <w:tcPr>
            <w:tcW w:w="6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</w:tcPr>
          <w:p>
            <w:pPr>
              <w:pStyle w:val="TableContents"/>
              <w:spacing w:before="0" w:after="160"/>
              <w:rPr>
                <w:color w:val="2A6099"/>
              </w:rPr>
            </w:pPr>
            <w:r>
              <w:rPr>
                <w:color w:val="2A6099"/>
              </w:rPr>
              <w:t>Descrição</w:t>
            </w:r>
          </w:p>
        </w:tc>
      </w:tr>
      <w:tr>
        <w:trPr/>
        <w:tc>
          <w:tcPr>
            <w:tcW w:w="26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Empresa</w:t>
            </w:r>
          </w:p>
        </w:tc>
        <w:tc>
          <w:tcPr>
            <w:tcW w:w="6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Corresponde a Empresas, independente do segmento de mercado, que tem ações na bolsa de valores. São identificadas pelo CNPJ e apresentam as informações como nome, setor de atuação de valor de mercado.</w:t>
            </w:r>
          </w:p>
        </w:tc>
      </w:tr>
      <w:tr>
        <w:trPr/>
        <w:tc>
          <w:tcPr>
            <w:tcW w:w="26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Ação</w:t>
            </w:r>
          </w:p>
        </w:tc>
        <w:tc>
          <w:tcPr>
            <w:tcW w:w="6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 xml:space="preserve">As ações estão relacionadas as Empresas que refletem seus valores. São identificadas pelo Ticker, código alfanumérico, que facilita a negociação em plataformas de investimento. </w:t>
            </w:r>
          </w:p>
        </w:tc>
      </w:tr>
      <w:tr>
        <w:trPr/>
        <w:tc>
          <w:tcPr>
            <w:tcW w:w="26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Investidor</w:t>
            </w:r>
          </w:p>
        </w:tc>
        <w:tc>
          <w:tcPr>
            <w:tcW w:w="6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Poder ser uma pessoa física ou jurídica que tem a possibilidade de realizar diversas negociações de compra e venda de ações. São identificados pelo documento (CNPJ/CPF) e ainda possuem: nome completo, e-mail e telefone.</w:t>
            </w:r>
          </w:p>
        </w:tc>
      </w:tr>
      <w:tr>
        <w:trPr/>
        <w:tc>
          <w:tcPr>
            <w:tcW w:w="26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Negociações</w:t>
            </w:r>
          </w:p>
        </w:tc>
        <w:tc>
          <w:tcPr>
            <w:tcW w:w="6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Correspondem a compra e venda de ações de determinadas empresas por investidores com registro da data e hora como também a quantidade de ações negociadas.</w:t>
            </w:r>
          </w:p>
        </w:tc>
      </w:tr>
      <w:tr>
        <w:trPr/>
        <w:tc>
          <w:tcPr>
            <w:tcW w:w="26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Histórico de Cotação das Ações</w:t>
            </w:r>
          </w:p>
        </w:tc>
        <w:tc>
          <w:tcPr>
            <w:tcW w:w="6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Registro das cotações das ações ao longo do tempo.</w:t>
            </w:r>
          </w:p>
        </w:tc>
      </w:tr>
    </w:tbl>
    <w:p>
      <w:pPr>
        <w:pStyle w:val="BodyText"/>
        <w:spacing w:lineRule="auto" w:line="259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Rule="auto" w:line="259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Rule="auto" w:line="259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Rule="auto" w:line="259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Rule="auto" w:line="259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Rule="auto" w:line="259" w:before="0" w:after="0"/>
        <w:rPr>
          <w:b/>
          <w:bCs/>
          <w:i/>
          <w:iCs/>
          <w:color w:val="2A6099"/>
        </w:rPr>
      </w:pPr>
      <w:r>
        <w:rPr>
          <w:b/>
          <w:bCs/>
          <w:i/>
          <w:iCs/>
          <w:color w:val="2A6099"/>
          <w:sz w:val="20"/>
          <w:szCs w:val="20"/>
        </w:rPr>
        <w:t>5 - Regras de Negócio</w:t>
      </w:r>
    </w:p>
    <w:p>
      <w:pPr>
        <w:pStyle w:val="BodyText"/>
        <w:spacing w:lineRule="auto" w:line="259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spacing w:lineRule="auto" w:line="259" w:before="0" w:after="0"/>
        <w:rPr>
          <w:rFonts w:eastAsia="Aptos" w:cs="" w:cstheme="minorBidi" w:eastAsiaTheme="minorHAnsi"/>
          <w:b/>
          <w:bCs/>
          <w:i/>
          <w:iCs/>
          <w:color w:val="2A6099"/>
          <w:sz w:val="20"/>
          <w:szCs w:val="20"/>
          <w:u w:val="none"/>
          <w14:ligatures w14:val="standardContextual"/>
        </w:rPr>
      </w:pPr>
      <w:r>
        <w:rPr>
          <w:rFonts w:eastAsia="Aptos" w:cs="" w:cstheme="minorBidi" w:eastAsiaTheme="minorHAnsi"/>
          <w:b/>
          <w:bCs/>
          <w:i/>
          <w:iCs/>
          <w:color w:val="2A6099"/>
          <w:sz w:val="20"/>
          <w:szCs w:val="20"/>
          <w:u w:val="none"/>
          <w14:ligatures w14:val="standardContextual"/>
        </w:rPr>
        <w:t>5.1 - Investidores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59" w:before="0" w:after="0"/>
        <w:ind w:hanging="283" w:start="709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Cada investidor deve possuir </w:t>
      </w:r>
      <w:r>
        <w:rPr>
          <w:rStyle w:val="Strong"/>
          <w:sz w:val="20"/>
          <w:szCs w:val="20"/>
        </w:rPr>
        <w:t>identificação única por CPF ou CNPJ</w:t>
      </w:r>
      <w:r>
        <w:rPr>
          <w:sz w:val="20"/>
          <w:szCs w:val="20"/>
        </w:rPr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59" w:before="0" w:after="0"/>
        <w:ind w:hanging="283" w:start="709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Deve conter os dados obrigatórios: nome completo, tipo (pessoa física ou jurídica), e-mail e telefone.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59"/>
        <w:ind w:hanging="283" w:start="709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O tipo de investidor deve ser restrito a: </w:t>
      </w:r>
      <w:r>
        <w:rPr>
          <w:rStyle w:val="Strong"/>
          <w:sz w:val="20"/>
          <w:szCs w:val="20"/>
        </w:rPr>
        <w:t>Pessoa Física ou Pessoa Jurídica</w:t>
      </w:r>
      <w:r>
        <w:rPr>
          <w:sz w:val="20"/>
          <w:szCs w:val="20"/>
        </w:rPr>
        <w:t>.</w:t>
      </w:r>
    </w:p>
    <w:p>
      <w:pPr>
        <w:pStyle w:val="Heading3"/>
        <w:spacing w:lineRule="auto" w:line="259" w:before="0" w:after="0"/>
        <w:rPr>
          <w:rFonts w:eastAsia="Aptos" w:cs="" w:cstheme="minorBidi" w:eastAsiaTheme="minorHAnsi"/>
          <w:b/>
          <w:bCs/>
          <w:i/>
          <w:iCs/>
          <w:color w:val="2A6099"/>
          <w:sz w:val="20"/>
          <w:szCs w:val="20"/>
          <w:u w:val="none"/>
          <w14:ligatures w14:val="standardContextual"/>
        </w:rPr>
      </w:pPr>
      <w:r>
        <w:rPr>
          <w:rFonts w:eastAsia="Aptos" w:cs="" w:cstheme="minorBidi" w:eastAsiaTheme="minorHAnsi"/>
          <w:b/>
          <w:bCs/>
          <w:i/>
          <w:iCs/>
          <w:color w:val="2A6099"/>
          <w:sz w:val="20"/>
          <w:szCs w:val="20"/>
          <w:u w:val="none"/>
          <w14:ligatures w14:val="standardContextual"/>
        </w:rPr>
        <w:t>5.2 - Ações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59" w:before="0" w:after="0"/>
        <w:ind w:hanging="283" w:start="709"/>
        <w:rPr>
          <w:sz w:val="20"/>
          <w:szCs w:val="20"/>
        </w:rPr>
      </w:pPr>
      <w:r>
        <w:rPr>
          <w:sz w:val="20"/>
          <w:szCs w:val="20"/>
        </w:rPr>
        <w:t xml:space="preserve">Cada ação deve estar vinculada a uma </w:t>
      </w:r>
      <w:r>
        <w:rPr>
          <w:rStyle w:val="Strong"/>
          <w:sz w:val="20"/>
          <w:szCs w:val="20"/>
        </w:rPr>
        <w:t>empresa listada na bolsa</w:t>
      </w:r>
      <w:r>
        <w:rPr>
          <w:sz w:val="20"/>
          <w:szCs w:val="20"/>
        </w:rPr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59" w:before="0" w:after="0"/>
        <w:ind w:hanging="283" w:start="709"/>
        <w:rPr>
          <w:sz w:val="20"/>
          <w:szCs w:val="20"/>
        </w:rPr>
      </w:pPr>
      <w:r>
        <w:rPr>
          <w:sz w:val="20"/>
          <w:szCs w:val="20"/>
        </w:rPr>
        <w:t xml:space="preserve">Deve possuir </w:t>
      </w:r>
      <w:r>
        <w:rPr>
          <w:rStyle w:val="Strong"/>
          <w:sz w:val="20"/>
          <w:szCs w:val="20"/>
        </w:rPr>
        <w:t>ticker único</w:t>
      </w:r>
      <w:r>
        <w:rPr>
          <w:sz w:val="20"/>
          <w:szCs w:val="20"/>
        </w:rPr>
        <w:t xml:space="preserve"> (código de negociação).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59"/>
        <w:ind w:hanging="283" w:start="709"/>
        <w:rPr>
          <w:sz w:val="20"/>
          <w:szCs w:val="20"/>
        </w:rPr>
      </w:pPr>
      <w:r>
        <w:rPr>
          <w:sz w:val="20"/>
          <w:szCs w:val="20"/>
        </w:rPr>
        <w:t>Deve armazenar: nome da empresa, setor de atuação e valor de mercado.</w:t>
      </w:r>
    </w:p>
    <w:p>
      <w:pPr>
        <w:pStyle w:val="Heading3"/>
        <w:spacing w:lineRule="auto" w:line="259" w:before="0" w:after="0"/>
        <w:rPr>
          <w:sz w:val="20"/>
          <w:szCs w:val="20"/>
          <w:u w:val="none"/>
        </w:rPr>
      </w:pPr>
      <w:r>
        <w:rPr>
          <w:rFonts w:eastAsia="Aptos" w:cs="" w:cstheme="minorBidi" w:eastAsiaTheme="minorHAnsi"/>
          <w:b/>
          <w:bCs/>
          <w:i/>
          <w:iCs/>
          <w:color w:val="2A6099"/>
          <w:sz w:val="20"/>
          <w:szCs w:val="20"/>
          <w:u w:val="none"/>
          <w14:ligatures w14:val="standardContextual"/>
        </w:rPr>
        <w:t>5.3 - Negociações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59" w:before="0" w:after="0"/>
        <w:ind w:hanging="283" w:start="709"/>
        <w:rPr>
          <w:sz w:val="20"/>
          <w:szCs w:val="20"/>
        </w:rPr>
      </w:pPr>
      <w:r>
        <w:rPr>
          <w:sz w:val="20"/>
          <w:szCs w:val="20"/>
        </w:rPr>
        <w:t xml:space="preserve">Investidores podem realizar </w:t>
      </w:r>
      <w:r>
        <w:rPr>
          <w:rStyle w:val="Strong"/>
          <w:sz w:val="20"/>
          <w:szCs w:val="20"/>
        </w:rPr>
        <w:t>múltiplas negociações</w:t>
      </w:r>
      <w:r>
        <w:rPr>
          <w:sz w:val="20"/>
          <w:szCs w:val="20"/>
        </w:rPr>
        <w:t xml:space="preserve"> ao longo do tempo.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59" w:before="0" w:after="0"/>
        <w:ind w:hanging="283" w:start="709"/>
        <w:rPr>
          <w:sz w:val="20"/>
          <w:szCs w:val="20"/>
        </w:rPr>
      </w:pPr>
      <w:r>
        <w:rPr>
          <w:sz w:val="20"/>
          <w:szCs w:val="20"/>
        </w:rPr>
        <w:t xml:space="preserve">Cada negociação deve estar associada a: 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lineRule="auto" w:line="259" w:before="0" w:after="0"/>
        <w:ind w:hanging="283" w:start="1418"/>
        <w:rPr>
          <w:sz w:val="20"/>
          <w:szCs w:val="20"/>
        </w:rPr>
      </w:pPr>
      <w:r>
        <w:rPr>
          <w:sz w:val="20"/>
          <w:szCs w:val="20"/>
        </w:rPr>
        <w:t xml:space="preserve">Um investidor 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lineRule="auto" w:line="259" w:before="0" w:after="0"/>
        <w:ind w:hanging="283" w:start="1418"/>
        <w:rPr>
          <w:sz w:val="20"/>
          <w:szCs w:val="20"/>
        </w:rPr>
      </w:pPr>
      <w:r>
        <w:rPr>
          <w:sz w:val="20"/>
          <w:szCs w:val="20"/>
        </w:rPr>
        <w:t xml:space="preserve">Uma ação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59" w:before="0" w:after="0"/>
        <w:ind w:hanging="283" w:start="709"/>
        <w:rPr>
          <w:sz w:val="20"/>
          <w:szCs w:val="20"/>
        </w:rPr>
      </w:pPr>
      <w:r>
        <w:rPr>
          <w:sz w:val="20"/>
          <w:szCs w:val="20"/>
        </w:rPr>
        <w:t xml:space="preserve">Cada negociação deve registrar obrigatoriamente: 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lineRule="auto" w:line="259" w:before="0" w:after="0"/>
        <w:ind w:hanging="283" w:start="1418"/>
        <w:rPr>
          <w:sz w:val="20"/>
          <w:szCs w:val="20"/>
        </w:rPr>
      </w:pPr>
      <w:r>
        <w:rPr>
          <w:sz w:val="20"/>
          <w:szCs w:val="20"/>
        </w:rPr>
        <w:t xml:space="preserve">Data e hora da transação 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lineRule="auto" w:line="259" w:before="0" w:after="0"/>
        <w:ind w:hanging="283" w:start="1418"/>
        <w:rPr>
          <w:sz w:val="20"/>
          <w:szCs w:val="20"/>
        </w:rPr>
      </w:pPr>
      <w:r>
        <w:rPr>
          <w:sz w:val="20"/>
          <w:szCs w:val="20"/>
        </w:rPr>
        <w:t xml:space="preserve">Tipo da operação (compra ou venda) 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lineRule="auto" w:line="259" w:before="0" w:after="0"/>
        <w:ind w:hanging="283" w:start="1418"/>
        <w:rPr>
          <w:sz w:val="20"/>
          <w:szCs w:val="20"/>
        </w:rPr>
      </w:pPr>
      <w:r>
        <w:rPr>
          <w:sz w:val="20"/>
          <w:szCs w:val="20"/>
        </w:rPr>
        <w:t xml:space="preserve">Quantidade de ações 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lineRule="auto" w:line="259" w:before="0" w:after="0"/>
        <w:ind w:hanging="283" w:start="1418"/>
        <w:rPr>
          <w:sz w:val="20"/>
          <w:szCs w:val="20"/>
        </w:rPr>
      </w:pPr>
      <w:r>
        <w:rPr>
          <w:sz w:val="20"/>
          <w:szCs w:val="20"/>
        </w:rPr>
        <w:t xml:space="preserve">Valor unitário no momento da negociação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59" w:before="0" w:after="0"/>
        <w:ind w:hanging="283" w:start="709"/>
        <w:rPr>
          <w:sz w:val="20"/>
          <w:szCs w:val="20"/>
        </w:rPr>
      </w:pPr>
      <w:r>
        <w:rPr>
          <w:sz w:val="20"/>
          <w:szCs w:val="20"/>
        </w:rPr>
        <w:t xml:space="preserve">O tipo de operação deve ser restrito a: </w:t>
      </w:r>
      <w:r>
        <w:rPr>
          <w:rStyle w:val="Strong"/>
          <w:sz w:val="20"/>
          <w:szCs w:val="20"/>
        </w:rPr>
        <w:t>compra ou venda</w:t>
      </w:r>
      <w:r>
        <w:rPr>
          <w:sz w:val="20"/>
          <w:szCs w:val="20"/>
        </w:rPr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59" w:before="0" w:after="0"/>
        <w:ind w:hanging="283" w:start="709"/>
        <w:rPr>
          <w:sz w:val="20"/>
          <w:szCs w:val="20"/>
        </w:rPr>
      </w:pPr>
      <w:r>
        <w:rPr>
          <w:sz w:val="20"/>
          <w:szCs w:val="20"/>
        </w:rPr>
        <w:t xml:space="preserve">Um investidor pode negociar várias ações diferentes.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59"/>
        <w:ind w:hanging="283" w:start="709"/>
        <w:rPr>
          <w:sz w:val="20"/>
          <w:szCs w:val="20"/>
        </w:rPr>
      </w:pPr>
      <w:r>
        <w:rPr>
          <w:sz w:val="20"/>
          <w:szCs w:val="20"/>
        </w:rPr>
        <w:t>Uma mesma ação pode ser negociada por vários investidores (</w:t>
      </w:r>
      <w:r>
        <w:rPr>
          <w:rStyle w:val="Strong"/>
          <w:sz w:val="20"/>
          <w:szCs w:val="20"/>
        </w:rPr>
        <w:t>relação muitos-para-muitos</w:t>
      </w:r>
      <w:r>
        <w:rPr>
          <w:sz w:val="20"/>
          <w:szCs w:val="20"/>
        </w:rPr>
        <w:t>).</w:t>
      </w:r>
    </w:p>
    <w:p>
      <w:pPr>
        <w:pStyle w:val="Heading3"/>
        <w:spacing w:lineRule="auto" w:line="259" w:before="0" w:after="0"/>
        <w:rPr>
          <w:rFonts w:eastAsia="Aptos" w:cs="" w:cstheme="minorBidi" w:eastAsiaTheme="minorHAnsi"/>
          <w:b/>
          <w:bCs/>
          <w:i/>
          <w:iCs/>
          <w:color w:val="2A6099"/>
          <w:sz w:val="20"/>
          <w:szCs w:val="20"/>
          <w:u w:val="none"/>
          <w14:ligatures w14:val="standardContextual"/>
        </w:rPr>
      </w:pPr>
      <w:r>
        <w:rPr>
          <w:rFonts w:eastAsia="Aptos" w:cs="" w:cstheme="minorBidi" w:eastAsiaTheme="minorHAnsi"/>
          <w:b/>
          <w:bCs/>
          <w:i/>
          <w:iCs/>
          <w:color w:val="2A6099"/>
          <w:sz w:val="20"/>
          <w:szCs w:val="20"/>
          <w:u w:val="none"/>
          <w14:ligatures w14:val="standardContextual"/>
        </w:rPr>
        <w:t>5.4 - Histórico de Cotações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259" w:before="0" w:after="0"/>
        <w:ind w:hanging="283" w:start="709"/>
        <w:rPr>
          <w:sz w:val="20"/>
          <w:szCs w:val="20"/>
        </w:rPr>
      </w:pPr>
      <w:r>
        <w:rPr>
          <w:sz w:val="20"/>
          <w:szCs w:val="20"/>
        </w:rPr>
        <w:t xml:space="preserve">O sistema deve manter histórico de preços das ações ao longo do tempo.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259" w:before="0" w:after="0"/>
        <w:ind w:hanging="283" w:start="709"/>
        <w:rPr>
          <w:sz w:val="20"/>
          <w:szCs w:val="20"/>
        </w:rPr>
      </w:pPr>
      <w:r>
        <w:rPr>
          <w:sz w:val="20"/>
          <w:szCs w:val="20"/>
        </w:rPr>
        <w:t xml:space="preserve">Cada registro de cotação deve conter: 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lineRule="auto" w:line="259" w:before="0" w:after="0"/>
        <w:ind w:hanging="283" w:start="1418"/>
        <w:rPr>
          <w:sz w:val="20"/>
          <w:szCs w:val="20"/>
        </w:rPr>
      </w:pPr>
      <w:r>
        <w:rPr>
          <w:sz w:val="20"/>
          <w:szCs w:val="20"/>
        </w:rPr>
        <w:t xml:space="preserve">Ação 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lineRule="auto" w:line="259" w:before="0" w:after="0"/>
        <w:ind w:hanging="283" w:start="1418"/>
        <w:rPr>
          <w:sz w:val="20"/>
          <w:szCs w:val="20"/>
        </w:rPr>
      </w:pPr>
      <w:r>
        <w:rPr>
          <w:sz w:val="20"/>
          <w:szCs w:val="20"/>
        </w:rPr>
        <w:t xml:space="preserve">Data 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lineRule="auto" w:line="259" w:before="0" w:after="0"/>
        <w:ind w:hanging="283" w:start="1418"/>
        <w:rPr>
          <w:sz w:val="20"/>
          <w:szCs w:val="20"/>
        </w:rPr>
      </w:pPr>
      <w:r>
        <w:rPr>
          <w:sz w:val="20"/>
          <w:szCs w:val="20"/>
        </w:rPr>
        <w:t xml:space="preserve">Hora 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lineRule="auto" w:line="259" w:before="0" w:after="0"/>
        <w:ind w:hanging="283" w:start="1418"/>
        <w:rPr>
          <w:sz w:val="20"/>
          <w:szCs w:val="20"/>
        </w:rPr>
      </w:pPr>
      <w:r>
        <w:rPr>
          <w:sz w:val="20"/>
          <w:szCs w:val="20"/>
        </w:rPr>
        <w:t xml:space="preserve">Valor da cotação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259" w:before="0" w:after="0"/>
        <w:ind w:hanging="283" w:start="709"/>
        <w:rPr>
          <w:sz w:val="20"/>
          <w:szCs w:val="20"/>
        </w:rPr>
      </w:pPr>
      <w:r>
        <w:rPr>
          <w:sz w:val="20"/>
          <w:szCs w:val="20"/>
        </w:rPr>
        <w:t xml:space="preserve">Deve permitir armazenamento de múltiplas cotações por dia para a mesma ação.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259"/>
        <w:ind w:hanging="283" w:start="709"/>
        <w:rPr>
          <w:sz w:val="20"/>
          <w:szCs w:val="20"/>
        </w:rPr>
      </w:pPr>
      <w:r>
        <w:rPr>
          <w:sz w:val="20"/>
          <w:szCs w:val="20"/>
        </w:rPr>
        <w:t xml:space="preserve">O histórico deve suportar </w:t>
      </w:r>
      <w:r>
        <w:rPr>
          <w:rStyle w:val="Strong"/>
          <w:sz w:val="20"/>
          <w:szCs w:val="20"/>
        </w:rPr>
        <w:t>análises temporais e estudos de mercado</w:t>
      </w:r>
      <w:r>
        <w:rPr>
          <w:sz w:val="20"/>
          <w:szCs w:val="20"/>
        </w:rPr>
        <w:t>.</w:t>
      </w:r>
    </w:p>
    <w:p>
      <w:pPr>
        <w:pStyle w:val="Heading3"/>
        <w:spacing w:lineRule="auto" w:line="259" w:before="0" w:after="0"/>
        <w:rPr>
          <w:rFonts w:eastAsia="Aptos" w:cs="" w:cstheme="minorBidi" w:eastAsiaTheme="minorHAnsi"/>
          <w:b/>
          <w:bCs/>
          <w:i/>
          <w:iCs/>
          <w:color w:val="2A6099"/>
          <w:sz w:val="20"/>
          <w:szCs w:val="20"/>
          <w:u w:val="none"/>
          <w14:ligatures w14:val="standardContextual"/>
        </w:rPr>
      </w:pPr>
      <w:r>
        <w:rPr>
          <w:rFonts w:eastAsia="Aptos" w:cs="" w:cstheme="minorBidi" w:eastAsiaTheme="minorHAnsi"/>
          <w:b/>
          <w:bCs/>
          <w:i/>
          <w:iCs/>
          <w:color w:val="2A6099"/>
          <w:sz w:val="20"/>
          <w:szCs w:val="20"/>
          <w:u w:val="none"/>
          <w14:ligatures w14:val="standardContextual"/>
        </w:rPr>
        <w:t>5.5 - Carteira do Investidor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259" w:before="0" w:after="0"/>
        <w:ind w:hanging="283" w:start="709"/>
        <w:rPr>
          <w:sz w:val="20"/>
          <w:szCs w:val="20"/>
        </w:rPr>
      </w:pPr>
      <w:r>
        <w:rPr>
          <w:sz w:val="20"/>
          <w:szCs w:val="20"/>
        </w:rPr>
        <w:t xml:space="preserve">O sistema deve manter o </w:t>
      </w:r>
      <w:r>
        <w:rPr>
          <w:rStyle w:val="Strong"/>
          <w:sz w:val="20"/>
          <w:szCs w:val="20"/>
        </w:rPr>
        <w:t>saldo de ações por investidor (posição atual)</w:t>
      </w:r>
      <w:r>
        <w:rPr>
          <w:sz w:val="20"/>
          <w:szCs w:val="20"/>
        </w:rPr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259" w:before="0" w:after="0"/>
        <w:ind w:hanging="283" w:start="709"/>
        <w:rPr>
          <w:sz w:val="20"/>
          <w:szCs w:val="20"/>
        </w:rPr>
      </w:pPr>
      <w:r>
        <w:rPr>
          <w:sz w:val="20"/>
          <w:szCs w:val="20"/>
        </w:rPr>
        <w:t xml:space="preserve">O saldo deve ser calculado com base nas negociações realizadas: 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0" w:leader="none"/>
        </w:tabs>
        <w:spacing w:lineRule="auto" w:line="259" w:before="0" w:after="0"/>
        <w:ind w:hanging="283" w:start="1418"/>
        <w:rPr>
          <w:sz w:val="20"/>
          <w:szCs w:val="20"/>
        </w:rPr>
      </w:pPr>
      <w:r>
        <w:rPr>
          <w:sz w:val="20"/>
          <w:szCs w:val="20"/>
        </w:rPr>
        <w:t xml:space="preserve">Compras aumentam o saldo 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0" w:leader="none"/>
        </w:tabs>
        <w:spacing w:lineRule="auto" w:line="259" w:before="0" w:after="0"/>
        <w:ind w:hanging="283" w:start="1418"/>
        <w:rPr>
          <w:sz w:val="20"/>
          <w:szCs w:val="20"/>
        </w:rPr>
      </w:pPr>
      <w:r>
        <w:rPr>
          <w:sz w:val="20"/>
          <w:szCs w:val="20"/>
        </w:rPr>
        <w:t xml:space="preserve">Vendas reduzem o saldo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259" w:before="0" w:after="0"/>
        <w:ind w:hanging="283" w:start="709"/>
        <w:rPr>
          <w:sz w:val="20"/>
          <w:szCs w:val="20"/>
        </w:rPr>
      </w:pPr>
      <w:r>
        <w:rPr>
          <w:sz w:val="20"/>
          <w:szCs w:val="20"/>
        </w:rPr>
        <w:t xml:space="preserve">O sistema deve permitir: 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0" w:leader="none"/>
        </w:tabs>
        <w:spacing w:lineRule="auto" w:line="259" w:before="0" w:after="0"/>
        <w:ind w:hanging="283" w:start="1418"/>
        <w:rPr>
          <w:sz w:val="20"/>
          <w:szCs w:val="20"/>
        </w:rPr>
      </w:pPr>
      <w:r>
        <w:rPr>
          <w:sz w:val="20"/>
          <w:szCs w:val="20"/>
        </w:rPr>
        <w:t xml:space="preserve">Consulta da posição atual 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0" w:leader="none"/>
        </w:tabs>
        <w:spacing w:lineRule="auto" w:line="259"/>
        <w:ind w:hanging="283" w:start="1418"/>
        <w:rPr>
          <w:sz w:val="20"/>
          <w:szCs w:val="20"/>
        </w:rPr>
      </w:pPr>
      <w:r>
        <w:rPr>
          <w:sz w:val="20"/>
          <w:szCs w:val="20"/>
        </w:rPr>
        <w:t>Análises retrospectivas com base no histórico de cotações</w:t>
      </w:r>
    </w:p>
    <w:p>
      <w:pPr>
        <w:pStyle w:val="BodyText"/>
        <w:spacing w:lineRule="auto" w:line="259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Rule="auto" w:line="259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Rule="auto" w:line="259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Rule="auto" w:line="259" w:before="0" w:after="0"/>
        <w:rPr>
          <w:b/>
          <w:bCs/>
          <w:i/>
          <w:iCs/>
          <w:color w:val="2A6099"/>
        </w:rPr>
      </w:pPr>
      <w:r>
        <w:rPr>
          <w:b/>
          <w:bCs/>
          <w:i/>
          <w:iCs/>
          <w:color w:val="2A6099"/>
          <w:sz w:val="20"/>
          <w:szCs w:val="20"/>
        </w:rPr>
        <w:t>6 - Modelo Conceitual</w:t>
      </w:r>
    </w:p>
    <w:p>
      <w:pPr>
        <w:pStyle w:val="BodyText"/>
        <w:spacing w:lineRule="auto" w:line="259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Rule="auto" w:line="259" w:before="0" w:after="0"/>
        <w:rPr>
          <w:sz w:val="20"/>
          <w:szCs w:val="20"/>
        </w:rPr>
      </w:pPr>
      <w:r>
        <w:rPr>
          <w:sz w:val="20"/>
          <w:szCs w:val="20"/>
        </w:rPr>
        <w:t>Este modelo foi desenhado na ferramenta BRMW web, utilizando todos os conceitos levantados e mencionados nos itens 4 (Levantamento e Descrição das Entidades) e 5 (Regras de Negócio). Abaixo o modelo conceitual.</w:t>
      </w:r>
    </w:p>
    <w:p>
      <w:pPr>
        <w:pStyle w:val="BodyText"/>
        <w:spacing w:lineRule="auto" w:line="259" w:before="0" w:after="0"/>
        <w:rPr>
          <w:sz w:val="20"/>
          <w:szCs w:val="20"/>
        </w:rPr>
      </w:pPr>
      <w:r>
        <w:rPr>
          <w:sz w:val="20"/>
          <w:szCs w:val="20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95250</wp:posOffset>
            </wp:positionH>
            <wp:positionV relativeFrom="paragraph">
              <wp:posOffset>158750</wp:posOffset>
            </wp:positionV>
            <wp:extent cx="5622290" cy="343535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2290" cy="343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59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Rule="auto" w:line="259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Rule="auto" w:line="259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Rule="auto" w:line="259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Rule="auto" w:line="259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Rule="auto" w:line="259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Rule="auto" w:line="259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Rule="auto" w:line="259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Rule="auto" w:line="259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Rule="auto" w:line="259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Rule="auto" w:line="259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Rule="auto" w:line="259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Rule="auto" w:line="259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Rule="auto" w:line="259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Rule="auto" w:line="259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Rule="auto" w:line="259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Rule="auto" w:line="259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Rule="auto" w:line="259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Rule="auto" w:line="259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Rule="auto" w:line="259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Rule="auto" w:line="259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Rule="auto" w:line="259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Rule="auto" w:line="259" w:before="0" w:after="0"/>
        <w:rPr>
          <w:b/>
          <w:bCs/>
          <w:i/>
          <w:iCs/>
          <w:color w:val="2A6099"/>
          <w:sz w:val="20"/>
          <w:szCs w:val="20"/>
        </w:rPr>
      </w:pPr>
      <w:r>
        <w:rPr>
          <w:b/>
          <w:bCs/>
          <w:i/>
          <w:iCs/>
          <w:color w:val="2A6099"/>
          <w:sz w:val="20"/>
          <w:szCs w:val="20"/>
        </w:rPr>
        <w:t>7 - Modelo Lógico</w:t>
      </w:r>
    </w:p>
    <w:p>
      <w:pPr>
        <w:pStyle w:val="BodyText"/>
        <w:spacing w:lineRule="auto" w:line="259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Rule="auto" w:line="259" w:before="0" w:after="0"/>
        <w:rPr>
          <w:sz w:val="20"/>
          <w:szCs w:val="20"/>
        </w:rPr>
      </w:pPr>
      <w:r>
        <w:rPr>
          <w:sz w:val="20"/>
          <w:szCs w:val="20"/>
        </w:rPr>
        <w:t>Este modelo, também na ferramenta BRMW web,  foi gerado diretamente através do Modelo Conceitual.</w:t>
      </w:r>
    </w:p>
    <w:p>
      <w:pPr>
        <w:pStyle w:val="BodyText"/>
        <w:spacing w:lineRule="auto" w:line="259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Rule="auto" w:line="259" w:before="0" w:after="0"/>
        <w:rPr>
          <w:sz w:val="20"/>
          <w:szCs w:val="20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401383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13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 xml:space="preserve">   </w:t>
      </w:r>
    </w:p>
    <w:p>
      <w:pPr>
        <w:pStyle w:val="BodyText"/>
        <w:spacing w:lineRule="auto" w:line="259" w:before="0" w:after="0"/>
        <w:rPr>
          <w:b/>
          <w:bCs/>
          <w:i/>
          <w:iCs/>
          <w:color w:val="2A6099"/>
          <w:sz w:val="20"/>
          <w:szCs w:val="20"/>
        </w:rPr>
      </w:pPr>
      <w:r>
        <w:rPr>
          <w:b/>
          <w:bCs/>
          <w:i/>
          <w:iCs/>
          <w:color w:val="2A6099"/>
          <w:sz w:val="20"/>
          <w:szCs w:val="20"/>
        </w:rPr>
      </w:r>
    </w:p>
    <w:p>
      <w:pPr>
        <w:pStyle w:val="BodyText"/>
        <w:spacing w:lineRule="auto" w:line="259" w:before="0" w:after="0"/>
        <w:rPr>
          <w:b/>
          <w:bCs/>
          <w:i/>
          <w:iCs/>
          <w:color w:val="2A6099"/>
          <w:sz w:val="20"/>
          <w:szCs w:val="20"/>
        </w:rPr>
      </w:pPr>
      <w:r>
        <w:rPr>
          <w:b/>
          <w:bCs/>
          <w:i/>
          <w:iCs/>
          <w:color w:val="2A6099"/>
          <w:sz w:val="20"/>
          <w:szCs w:val="20"/>
        </w:rPr>
      </w:r>
    </w:p>
    <w:p>
      <w:pPr>
        <w:pStyle w:val="BodyText"/>
        <w:spacing w:lineRule="auto" w:line="259" w:before="0" w:after="0"/>
        <w:rPr>
          <w:b/>
          <w:bCs/>
          <w:i/>
          <w:iCs/>
          <w:color w:val="2A6099"/>
          <w:sz w:val="20"/>
          <w:szCs w:val="20"/>
        </w:rPr>
      </w:pPr>
      <w:r>
        <w:rPr>
          <w:b/>
          <w:bCs/>
          <w:i/>
          <w:iCs/>
          <w:color w:val="2A6099"/>
          <w:sz w:val="20"/>
          <w:szCs w:val="20"/>
        </w:rPr>
      </w:r>
    </w:p>
    <w:p>
      <w:pPr>
        <w:pStyle w:val="BodyText"/>
        <w:spacing w:lineRule="auto" w:line="259" w:before="0" w:after="0"/>
        <w:rPr>
          <w:b/>
          <w:bCs/>
          <w:i/>
          <w:iCs/>
          <w:color w:val="2A6099"/>
          <w:sz w:val="20"/>
          <w:szCs w:val="20"/>
        </w:rPr>
      </w:pPr>
      <w:r>
        <w:rPr>
          <w:b/>
          <w:bCs/>
          <w:i/>
          <w:iCs/>
          <w:color w:val="2A6099"/>
          <w:sz w:val="20"/>
          <w:szCs w:val="20"/>
        </w:rPr>
      </w:r>
    </w:p>
    <w:p>
      <w:pPr>
        <w:pStyle w:val="BodyText"/>
        <w:spacing w:lineRule="auto" w:line="259" w:before="0" w:after="0"/>
        <w:rPr>
          <w:b/>
          <w:bCs/>
          <w:i/>
          <w:iCs/>
          <w:color w:val="2A6099"/>
          <w:sz w:val="20"/>
          <w:szCs w:val="20"/>
        </w:rPr>
      </w:pPr>
      <w:r>
        <w:rPr>
          <w:b/>
          <w:bCs/>
          <w:i/>
          <w:iCs/>
          <w:color w:val="2A6099"/>
          <w:sz w:val="20"/>
          <w:szCs w:val="20"/>
        </w:rPr>
      </w:r>
    </w:p>
    <w:p>
      <w:pPr>
        <w:pStyle w:val="BodyText"/>
        <w:spacing w:lineRule="auto" w:line="259" w:before="0" w:after="0"/>
        <w:rPr>
          <w:b/>
          <w:bCs/>
          <w:i/>
          <w:iCs/>
          <w:color w:val="2A6099"/>
          <w:sz w:val="20"/>
          <w:szCs w:val="20"/>
        </w:rPr>
      </w:pPr>
      <w:r>
        <w:rPr>
          <w:b/>
          <w:bCs/>
          <w:i/>
          <w:iCs/>
          <w:color w:val="2A6099"/>
          <w:sz w:val="20"/>
          <w:szCs w:val="20"/>
        </w:rPr>
      </w:r>
    </w:p>
    <w:p>
      <w:pPr>
        <w:pStyle w:val="BodyText"/>
        <w:spacing w:lineRule="auto" w:line="259" w:before="0" w:after="0"/>
        <w:rPr>
          <w:b/>
          <w:bCs/>
          <w:i/>
          <w:iCs/>
          <w:color w:val="2A6099"/>
          <w:sz w:val="20"/>
          <w:szCs w:val="20"/>
        </w:rPr>
      </w:pPr>
      <w:r>
        <w:rPr>
          <w:b/>
          <w:bCs/>
          <w:i/>
          <w:iCs/>
          <w:color w:val="2A6099"/>
          <w:sz w:val="20"/>
          <w:szCs w:val="20"/>
        </w:rPr>
      </w:r>
    </w:p>
    <w:p>
      <w:pPr>
        <w:pStyle w:val="BodyText"/>
        <w:spacing w:lineRule="auto" w:line="259" w:before="0" w:after="0"/>
        <w:rPr>
          <w:b/>
          <w:bCs/>
          <w:i/>
          <w:iCs/>
          <w:color w:val="2A6099"/>
          <w:sz w:val="20"/>
          <w:szCs w:val="20"/>
        </w:rPr>
      </w:pPr>
      <w:r>
        <w:rPr>
          <w:b/>
          <w:bCs/>
          <w:i/>
          <w:iCs/>
          <w:color w:val="2A6099"/>
          <w:sz w:val="20"/>
          <w:szCs w:val="20"/>
        </w:rPr>
      </w:r>
    </w:p>
    <w:p>
      <w:pPr>
        <w:pStyle w:val="BodyText"/>
        <w:spacing w:lineRule="auto" w:line="259" w:before="0" w:after="0"/>
        <w:rPr>
          <w:b/>
          <w:bCs/>
          <w:i/>
          <w:iCs/>
          <w:color w:val="2A6099"/>
          <w:sz w:val="20"/>
          <w:szCs w:val="20"/>
        </w:rPr>
      </w:pPr>
      <w:r>
        <w:rPr>
          <w:b/>
          <w:bCs/>
          <w:i/>
          <w:iCs/>
          <w:color w:val="2A6099"/>
          <w:sz w:val="20"/>
          <w:szCs w:val="20"/>
        </w:rPr>
      </w:r>
    </w:p>
    <w:p>
      <w:pPr>
        <w:pStyle w:val="BodyText"/>
        <w:spacing w:lineRule="auto" w:line="259" w:before="0" w:after="0"/>
        <w:rPr>
          <w:b/>
          <w:bCs/>
          <w:i/>
          <w:iCs/>
          <w:color w:val="2A6099"/>
          <w:sz w:val="20"/>
          <w:szCs w:val="20"/>
        </w:rPr>
      </w:pPr>
      <w:r>
        <w:rPr>
          <w:b/>
          <w:bCs/>
          <w:i/>
          <w:iCs/>
          <w:color w:val="2A6099"/>
          <w:sz w:val="20"/>
          <w:szCs w:val="20"/>
        </w:rPr>
      </w:r>
    </w:p>
    <w:p>
      <w:pPr>
        <w:pStyle w:val="BodyText"/>
        <w:spacing w:lineRule="auto" w:line="259" w:before="0" w:after="0"/>
        <w:rPr>
          <w:b/>
          <w:bCs/>
          <w:i/>
          <w:iCs/>
          <w:color w:val="2A6099"/>
          <w:sz w:val="20"/>
          <w:szCs w:val="20"/>
        </w:rPr>
      </w:pPr>
      <w:r>
        <w:rPr>
          <w:b/>
          <w:bCs/>
          <w:i/>
          <w:iCs/>
          <w:color w:val="2A6099"/>
          <w:sz w:val="20"/>
          <w:szCs w:val="20"/>
        </w:rPr>
      </w:r>
    </w:p>
    <w:p>
      <w:pPr>
        <w:pStyle w:val="BodyText"/>
        <w:spacing w:lineRule="auto" w:line="259" w:before="0" w:after="0"/>
        <w:rPr>
          <w:b/>
          <w:bCs/>
          <w:i/>
          <w:iCs/>
          <w:color w:val="2A6099"/>
          <w:sz w:val="20"/>
          <w:szCs w:val="20"/>
        </w:rPr>
      </w:pPr>
      <w:r>
        <w:rPr>
          <w:b/>
          <w:bCs/>
          <w:i/>
          <w:iCs/>
          <w:color w:val="2A6099"/>
          <w:sz w:val="20"/>
          <w:szCs w:val="20"/>
        </w:rPr>
      </w:r>
    </w:p>
    <w:p>
      <w:pPr>
        <w:pStyle w:val="BodyText"/>
        <w:spacing w:lineRule="auto" w:line="259" w:before="0" w:after="0"/>
        <w:rPr>
          <w:b/>
          <w:bCs/>
          <w:i/>
          <w:iCs/>
          <w:color w:val="2A6099"/>
          <w:sz w:val="20"/>
          <w:szCs w:val="20"/>
        </w:rPr>
      </w:pPr>
      <w:r>
        <w:rPr>
          <w:b/>
          <w:bCs/>
          <w:i/>
          <w:iCs/>
          <w:color w:val="2A6099"/>
          <w:sz w:val="20"/>
          <w:szCs w:val="20"/>
        </w:rPr>
      </w:r>
    </w:p>
    <w:p>
      <w:pPr>
        <w:pStyle w:val="BodyText"/>
        <w:spacing w:lineRule="auto" w:line="259" w:before="0" w:after="0"/>
        <w:rPr>
          <w:b/>
          <w:bCs/>
          <w:i/>
          <w:iCs/>
          <w:color w:val="2A6099"/>
          <w:sz w:val="20"/>
          <w:szCs w:val="20"/>
        </w:rPr>
      </w:pPr>
      <w:r>
        <w:rPr>
          <w:b/>
          <w:bCs/>
          <w:i/>
          <w:iCs/>
          <w:color w:val="2A6099"/>
          <w:sz w:val="20"/>
          <w:szCs w:val="20"/>
        </w:rPr>
      </w:r>
    </w:p>
    <w:p>
      <w:pPr>
        <w:pStyle w:val="BodyText"/>
        <w:spacing w:lineRule="auto" w:line="259" w:before="0" w:after="0"/>
        <w:rPr>
          <w:b/>
          <w:bCs/>
          <w:i/>
          <w:iCs/>
          <w:color w:val="2A6099"/>
          <w:sz w:val="20"/>
          <w:szCs w:val="20"/>
        </w:rPr>
      </w:pPr>
      <w:r>
        <w:rPr>
          <w:b/>
          <w:bCs/>
          <w:i/>
          <w:iCs/>
          <w:color w:val="2A6099"/>
          <w:sz w:val="20"/>
          <w:szCs w:val="20"/>
        </w:rPr>
      </w:r>
    </w:p>
    <w:p>
      <w:pPr>
        <w:pStyle w:val="BodyText"/>
        <w:spacing w:lineRule="auto" w:line="259" w:before="0" w:after="0"/>
        <w:rPr>
          <w:b/>
          <w:bCs/>
          <w:i/>
          <w:iCs/>
          <w:color w:val="2A6099"/>
          <w:sz w:val="20"/>
          <w:szCs w:val="20"/>
        </w:rPr>
      </w:pPr>
      <w:r>
        <w:rPr>
          <w:b/>
          <w:bCs/>
          <w:i/>
          <w:iCs/>
          <w:color w:val="2A6099"/>
          <w:sz w:val="20"/>
          <w:szCs w:val="20"/>
        </w:rPr>
      </w:r>
    </w:p>
    <w:p>
      <w:pPr>
        <w:pStyle w:val="BodyText"/>
        <w:spacing w:lineRule="auto" w:line="259" w:before="0" w:after="0"/>
        <w:rPr>
          <w:b/>
          <w:bCs/>
          <w:i/>
          <w:iCs/>
          <w:color w:val="2A6099"/>
          <w:sz w:val="20"/>
          <w:szCs w:val="20"/>
        </w:rPr>
      </w:pPr>
      <w:r>
        <w:rPr>
          <w:b/>
          <w:bCs/>
          <w:i/>
          <w:iCs/>
          <w:color w:val="2A6099"/>
          <w:sz w:val="20"/>
          <w:szCs w:val="20"/>
        </w:rPr>
      </w:r>
    </w:p>
    <w:p>
      <w:pPr>
        <w:pStyle w:val="BodyText"/>
        <w:spacing w:lineRule="auto" w:line="259" w:before="0" w:after="0"/>
        <w:rPr>
          <w:b/>
          <w:bCs/>
          <w:i/>
          <w:iCs/>
          <w:color w:val="2A6099"/>
          <w:sz w:val="20"/>
          <w:szCs w:val="20"/>
        </w:rPr>
      </w:pPr>
      <w:r>
        <w:rPr>
          <w:b/>
          <w:bCs/>
          <w:i/>
          <w:iCs/>
          <w:color w:val="2A6099"/>
          <w:sz w:val="20"/>
          <w:szCs w:val="20"/>
        </w:rPr>
      </w:r>
    </w:p>
    <w:p>
      <w:pPr>
        <w:pStyle w:val="BodyText"/>
        <w:spacing w:lineRule="auto" w:line="259" w:before="0" w:after="0"/>
        <w:rPr>
          <w:b/>
          <w:bCs/>
          <w:i/>
          <w:iCs/>
          <w:color w:val="2A6099"/>
          <w:sz w:val="20"/>
          <w:szCs w:val="20"/>
        </w:rPr>
      </w:pPr>
      <w:r>
        <w:rPr>
          <w:b/>
          <w:bCs/>
          <w:i/>
          <w:iCs/>
          <w:color w:val="2A6099"/>
          <w:sz w:val="20"/>
          <w:szCs w:val="20"/>
        </w:rPr>
      </w:r>
    </w:p>
    <w:p>
      <w:pPr>
        <w:pStyle w:val="BodyText"/>
        <w:spacing w:lineRule="auto" w:line="259" w:before="0" w:after="0"/>
        <w:rPr>
          <w:b/>
          <w:bCs/>
          <w:i/>
          <w:iCs/>
          <w:color w:val="2A6099"/>
          <w:sz w:val="20"/>
          <w:szCs w:val="20"/>
        </w:rPr>
      </w:pPr>
      <w:r>
        <w:rPr>
          <w:b/>
          <w:bCs/>
          <w:i/>
          <w:iCs/>
          <w:color w:val="2A6099"/>
          <w:sz w:val="20"/>
          <w:szCs w:val="20"/>
        </w:rPr>
      </w:r>
    </w:p>
    <w:p>
      <w:pPr>
        <w:pStyle w:val="BodyText"/>
        <w:spacing w:lineRule="auto" w:line="259" w:before="0" w:after="0"/>
        <w:rPr>
          <w:b/>
          <w:bCs/>
          <w:i/>
          <w:iCs/>
          <w:color w:val="2A6099"/>
          <w:sz w:val="20"/>
          <w:szCs w:val="20"/>
        </w:rPr>
      </w:pPr>
      <w:r>
        <w:rPr>
          <w:b/>
          <w:bCs/>
          <w:i/>
          <w:iCs/>
          <w:color w:val="2A6099"/>
          <w:sz w:val="20"/>
          <w:szCs w:val="20"/>
        </w:rPr>
        <w:t>8 - Modelo Físico</w:t>
      </w:r>
    </w:p>
    <w:p>
      <w:pPr>
        <w:pStyle w:val="BodyText"/>
        <w:spacing w:lineRule="auto" w:line="259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Rule="auto" w:line="259" w:before="0" w:after="0"/>
        <w:rPr>
          <w:sz w:val="20"/>
          <w:szCs w:val="20"/>
        </w:rPr>
      </w:pPr>
      <w:r>
        <w:rPr>
          <w:sz w:val="20"/>
          <w:szCs w:val="20"/>
        </w:rPr>
        <w:t>Para este modelo foi feito um mapeamento manual e a ferramenta utilizada foi o MySQL Workbench pelo fato de ter uma representatividade mais adequada. Segue o modelo.</w:t>
      </w:r>
    </w:p>
    <w:p>
      <w:pPr>
        <w:pStyle w:val="BodyText"/>
        <w:spacing w:lineRule="auto" w:line="259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Rule="auto" w:line="259" w:before="0" w:after="0"/>
        <w:rPr>
          <w:sz w:val="20"/>
          <w:szCs w:val="20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05435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5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 xml:space="preserve">              </w:t>
      </w:r>
    </w:p>
    <w:p>
      <w:pPr>
        <w:pStyle w:val="BodyText"/>
        <w:spacing w:lineRule="auto" w:line="259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Rule="auto" w:line="259" w:before="0" w:after="0"/>
        <w:rPr>
          <w:b/>
          <w:bCs/>
          <w:i/>
          <w:iCs/>
          <w:color w:val="2A6099"/>
        </w:rPr>
      </w:pPr>
      <w:r>
        <w:rPr>
          <w:b/>
          <w:bCs/>
          <w:i/>
          <w:iCs/>
          <w:color w:val="2A6099"/>
          <w:sz w:val="20"/>
          <w:szCs w:val="20"/>
        </w:rPr>
        <w:t xml:space="preserve">9 - </w:t>
      </w:r>
      <w:r>
        <w:rPr>
          <w:b/>
          <w:bCs/>
          <w:i/>
          <w:iCs/>
          <w:color w:val="2A6099"/>
          <w:sz w:val="20"/>
          <w:szCs w:val="20"/>
        </w:rPr>
        <w:t>Scripts SQL</w:t>
      </w:r>
    </w:p>
    <w:p>
      <w:pPr>
        <w:pStyle w:val="BodyText"/>
        <w:spacing w:lineRule="auto" w:line="259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Rule="auto" w:line="259" w:before="0" w:after="0"/>
        <w:rPr>
          <w:b/>
          <w:bCs/>
          <w:i/>
          <w:iCs/>
          <w:color w:val="2A6099"/>
        </w:rPr>
      </w:pPr>
      <w:r>
        <w:rPr>
          <w:b/>
          <w:bCs/>
          <w:i/>
          <w:iCs/>
          <w:color w:val="2A6099"/>
          <w:sz w:val="20"/>
          <w:szCs w:val="20"/>
        </w:rPr>
        <w:t xml:space="preserve">10 – </w:t>
      </w:r>
      <w:r>
        <w:rPr>
          <w:b/>
          <w:bCs/>
          <w:i/>
          <w:iCs/>
          <w:color w:val="2A6099"/>
          <w:sz w:val="20"/>
          <w:szCs w:val="20"/>
        </w:rPr>
        <w:t>Conclusão</w:t>
      </w:r>
    </w:p>
    <w:p>
      <w:pPr>
        <w:pStyle w:val="BodyText"/>
        <w:spacing w:lineRule="auto" w:line="259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Rule="auto" w:line="259" w:before="0" w:after="0"/>
        <w:rPr>
          <w:b/>
          <w:bCs/>
          <w:i/>
          <w:iCs/>
          <w:color w:val="2A6099"/>
        </w:rPr>
      </w:pPr>
      <w:r>
        <w:rPr>
          <w:b/>
          <w:bCs/>
          <w:i/>
          <w:iCs/>
          <w:color w:val="2A6099"/>
          <w:sz w:val="20"/>
          <w:szCs w:val="20"/>
        </w:rPr>
        <w:t xml:space="preserve">11 - </w:t>
      </w:r>
      <w:r>
        <w:rPr>
          <w:b/>
          <w:bCs/>
          <w:i/>
          <w:iCs/>
          <w:color w:val="2A6099"/>
          <w:sz w:val="20"/>
          <w:szCs w:val="20"/>
        </w:rPr>
        <w:t>Referências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before="0" w:after="160"/>
        <w:rPr>
          <w:sz w:val="20"/>
          <w:szCs w:val="20"/>
        </w:rPr>
      </w:pPr>
      <w:r>
        <w:rPr>
          <w:sz w:val="20"/>
          <w:szCs w:val="20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7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842868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842868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84286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E74B5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84286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84286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E74B5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84286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84286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84286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84286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842868"/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character" w:styleId="Ttulo2Char" w:customStyle="1">
    <w:name w:val="Título 2 Char"/>
    <w:basedOn w:val="DefaultParagraphFont"/>
    <w:link w:val="Heading2"/>
    <w:uiPriority w:val="9"/>
    <w:semiHidden/>
    <w:qFormat/>
    <w:rsid w:val="00842868"/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Ttulo3Char" w:customStyle="1">
    <w:name w:val="Título 3 Char"/>
    <w:basedOn w:val="DefaultParagraphFont"/>
    <w:link w:val="Heading3"/>
    <w:uiPriority w:val="9"/>
    <w:semiHidden/>
    <w:qFormat/>
    <w:rsid w:val="00842868"/>
    <w:rPr>
      <w:rFonts w:eastAsia="" w:cs="" w:cstheme="majorBidi" w:eastAsiaTheme="majorEastAsia"/>
      <w:color w:themeColor="accent1" w:themeShade="bf" w:val="2E74B5"/>
      <w:sz w:val="28"/>
      <w:szCs w:val="28"/>
    </w:rPr>
  </w:style>
  <w:style w:type="character" w:styleId="Ttulo4Char" w:customStyle="1">
    <w:name w:val="Título 4 Char"/>
    <w:basedOn w:val="DefaultParagraphFont"/>
    <w:link w:val="Heading4"/>
    <w:uiPriority w:val="9"/>
    <w:semiHidden/>
    <w:qFormat/>
    <w:rsid w:val="00842868"/>
    <w:rPr>
      <w:rFonts w:eastAsia="" w:cs="" w:cstheme="majorBidi" w:eastAsiaTheme="majorEastAsia"/>
      <w:i/>
      <w:iCs/>
      <w:color w:themeColor="accent1" w:themeShade="bf" w:val="2E74B5"/>
    </w:rPr>
  </w:style>
  <w:style w:type="character" w:styleId="Ttulo5Char" w:customStyle="1">
    <w:name w:val="Título 5 Char"/>
    <w:basedOn w:val="DefaultParagraphFont"/>
    <w:link w:val="Heading5"/>
    <w:uiPriority w:val="9"/>
    <w:semiHidden/>
    <w:qFormat/>
    <w:rsid w:val="00842868"/>
    <w:rPr>
      <w:rFonts w:eastAsia="" w:cs="" w:cstheme="majorBidi" w:eastAsiaTheme="majorEastAsia"/>
      <w:color w:themeColor="accent1" w:themeShade="bf" w:val="2E74B5"/>
    </w:rPr>
  </w:style>
  <w:style w:type="character" w:styleId="Ttulo6Char" w:customStyle="1">
    <w:name w:val="Título 6 Char"/>
    <w:basedOn w:val="DefaultParagraphFont"/>
    <w:link w:val="Heading6"/>
    <w:uiPriority w:val="9"/>
    <w:semiHidden/>
    <w:qFormat/>
    <w:rsid w:val="00842868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link w:val="Heading7"/>
    <w:uiPriority w:val="9"/>
    <w:semiHidden/>
    <w:qFormat/>
    <w:rsid w:val="00842868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link w:val="Heading8"/>
    <w:uiPriority w:val="9"/>
    <w:semiHidden/>
    <w:qFormat/>
    <w:rsid w:val="00842868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link w:val="Heading9"/>
    <w:uiPriority w:val="9"/>
    <w:semiHidden/>
    <w:qFormat/>
    <w:rsid w:val="00842868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link w:val="Title"/>
    <w:uiPriority w:val="10"/>
    <w:qFormat/>
    <w:rsid w:val="0084286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link w:val="Subtitle"/>
    <w:uiPriority w:val="11"/>
    <w:qFormat/>
    <w:rsid w:val="0084286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84286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42868"/>
    <w:rPr>
      <w:i/>
      <w:iCs/>
      <w:color w:themeColor="accent1" w:themeShade="bf" w:val="2E74B5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842868"/>
    <w:rPr>
      <w:i/>
      <w:iCs/>
      <w:color w:themeColor="accent1" w:themeShade="bf" w:val="2E74B5"/>
    </w:rPr>
  </w:style>
  <w:style w:type="character" w:styleId="IntenseReference">
    <w:name w:val="Intense Reference"/>
    <w:basedOn w:val="DefaultParagraphFont"/>
    <w:uiPriority w:val="32"/>
    <w:qFormat/>
    <w:rsid w:val="00842868"/>
    <w:rPr>
      <w:b/>
      <w:bCs/>
      <w:smallCaps/>
      <w:color w:themeColor="accent1" w:themeShade="bf" w:val="2E74B5"/>
      <w:spacing w:val="5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har"/>
    <w:uiPriority w:val="10"/>
    <w:qFormat/>
    <w:rsid w:val="00842868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84286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84286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42868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84286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E74B5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Application>LibreOffice/25.8.6.2$Linux_X86_64 LibreOffice_project/a46b460d1686bb49c718d2ef5f88b83ff2dc4981</Application>
  <AppVersion>15.0000</AppVersion>
  <Pages>7</Pages>
  <Words>1102</Words>
  <Characters>5821</Characters>
  <CharactersWithSpaces>6875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2026-04-19T16:31:00Z</dcterms:created>
  <dc:creator>Felipe Ricci Bressane, Cicero</dc:creator>
  <dc:description/>
  <dc:language>en-US</dc:language>
  <cp:lastModifiedBy/>
  <dcterms:modified xsi:type="dcterms:W3CDTF">2026-05-01T22:28:30Z</dcterms:modified>
  <cp:revision>50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