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Carbon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fero tamb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m foi marcado por grandes quantidades de oxig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ê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nio presente na atmosfera, o que possibilitou o surgimento de animais com tamanhos grandes, como a </w:t>
      </w:r>
      <w:r>
        <w:rPr>
          <w:rFonts w:ascii="Times Roman" w:hAnsi="Times Roman"/>
          <w:i w:val="1"/>
          <w:iCs w:val="1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Meganeura</w:t>
      </w: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Embora a maioria da vida marinha tenha sido extinta, alguns animais sobreviveram e se diversificaram posteriormente.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As novas mudan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ç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as alteraram a biota, com novas esp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cies tornando-se abundantes.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As esp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cies a seguir s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caracter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sticas do novo momento.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