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G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ê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 xml:space="preserve">nero extinto de </w:t>
      </w:r>
      <w:r>
        <w:rPr>
          <w:rFonts w:ascii="Times Roman" w:hAnsi="Times Roman" w:hint="default"/>
          <w:outline w:val="0"/>
          <w:color w:val="0b0e21"/>
          <w:rtl w:val="1"/>
          <w:lang w:val="ar-SA" w:bidi="ar-SA"/>
          <w14:textFill>
            <w14:solidFill>
              <w14:srgbClr w14:val="0B0E21"/>
            </w14:solidFill>
          </w14:textFill>
        </w:rPr>
        <w:t>“</w:t>
      </w:r>
      <w:r>
        <w:rPr>
          <w:rFonts w:ascii="Times Roman" w:hAnsi="Times Roman"/>
          <w:outline w:val="0"/>
          <w:color w:val="0b0e21"/>
          <w:rtl w:val="0"/>
          <w:lang w:val="en-US"/>
          <w14:textFill>
            <w14:solidFill>
              <w14:srgbClr w14:val="0B0E21"/>
            </w14:solidFill>
          </w14:textFill>
        </w:rPr>
        <w:t>Brittle Stars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 xml:space="preserve">” 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(estrelas fr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á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geis). Seus 5 longos e finos bra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ç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os eram utilizados para locomo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çã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o, de forma rastejante, no fundo do mar.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