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Vivia em lagos e rios de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gua doce, pr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ximo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à 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beira d</w:t>
      </w:r>
      <w:r>
        <w:rPr>
          <w:rFonts w:ascii="Times Roman" w:hAnsi="Times Roman" w:hint="default"/>
          <w:outline w:val="0"/>
          <w:color w:val="0b0e21"/>
          <w:rtl w:val="1"/>
          <w14:textFill>
            <w14:solidFill>
              <w14:srgbClr w14:val="0B0E21"/>
            </w14:solidFill>
          </w14:textFill>
        </w:rPr>
        <w:t>’á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gua. Era um predador de emboscada. Utilizava suas nadadeiras para se elevar no raso e poderia sobreviver por curtos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odos fora d</w:t>
      </w:r>
      <w:r>
        <w:rPr>
          <w:rFonts w:ascii="Times Roman" w:hAnsi="Times Roman" w:hint="default"/>
          <w:outline w:val="0"/>
          <w:color w:val="0b0e21"/>
          <w:rtl w:val="1"/>
          <w14:textFill>
            <w14:solidFill>
              <w14:srgbClr w14:val="0B0E21"/>
            </w14:solidFill>
          </w14:textFill>
        </w:rPr>
        <w:t>’á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gua, mecanismo desenvolvido para sobreviver aos grandes predadores marinhos da 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poca. Foi um precursor dos tetr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podes.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