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after="240" w:line="240" w:lineRule="auto"/>
      </w:pP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Semelhantes as lib</w:t>
      </w:r>
      <w:r>
        <w:rPr>
          <w:rFonts w:ascii="Times Roman" w:hAnsi="Times Roman" w:hint="default"/>
          <w:outline w:val="0"/>
          <w:color w:val="0b0e21"/>
          <w:rtl w:val="0"/>
          <w:lang w:val="fr-FR"/>
          <w14:textFill>
            <w14:solidFill>
              <w14:srgbClr w14:val="0B0E21"/>
            </w14:solidFill>
          </w14:textFill>
        </w:rPr>
        <w:t>é</w:t>
      </w: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lulas atuais, por</w:t>
      </w:r>
      <w:r>
        <w:rPr>
          <w:rFonts w:ascii="Times Roman" w:hAnsi="Times Roman" w:hint="default"/>
          <w:outline w:val="0"/>
          <w:color w:val="0b0e21"/>
          <w:rtl w:val="0"/>
          <w:lang w:val="fr-FR"/>
          <w14:textFill>
            <w14:solidFill>
              <w14:srgbClr w14:val="0B0E21"/>
            </w14:solidFill>
          </w14:textFill>
        </w:rPr>
        <w:t>é</w:t>
      </w: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m muito maior. Seu tamanho era similar ao de um pombo-comum e pesava cerca de 1,2 kg.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pt-PT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