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Estudos indicam que ele seja o ancestral dos anf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bios atuais. Como estes anf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bios, precisavam por seus ovos em corpos d</w:t>
      </w:r>
      <w:r>
        <w:rPr>
          <w:rFonts w:ascii="Times Roman" w:hAnsi="Times Roman" w:hint="default"/>
          <w:outline w:val="0"/>
          <w:color w:val="0b0e21"/>
          <w:rtl w:val="1"/>
          <w14:textFill>
            <w14:solidFill>
              <w14:srgbClr w14:val="0B0E21"/>
            </w14:solidFill>
          </w14:textFill>
        </w:rPr>
        <w:t>’á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gua, pois eles n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possu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am uma casca protetora.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