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240" w:line="240" w:lineRule="auto"/>
      </w:pPr>
      <w:r>
        <w:rPr>
          <w:rFonts w:ascii="Times Roman" w:hAnsi="Times Roman"/>
          <w:b w:val="1"/>
          <w:bCs w:val="1"/>
          <w:rtl w:val="0"/>
          <w:lang w:val="pt-PT"/>
        </w:rPr>
        <w:t>Conhe</w:t>
      </w:r>
      <w:r>
        <w:rPr>
          <w:rFonts w:ascii="Times Roman" w:hAnsi="Times Roman" w:hint="default"/>
          <w:b w:val="1"/>
          <w:bCs w:val="1"/>
          <w:rtl w:val="0"/>
        </w:rPr>
        <w:t>ç</w:t>
      </w:r>
      <w:r>
        <w:rPr>
          <w:rFonts w:ascii="Times Roman" w:hAnsi="Times Roman"/>
          <w:b w:val="1"/>
          <w:bCs w:val="1"/>
          <w:rtl w:val="0"/>
          <w:lang w:val="pt-PT"/>
        </w:rPr>
        <w:t>a os representantes da fauna e da flora caracter</w:t>
      </w:r>
      <w:r>
        <w:rPr>
          <w:rFonts w:ascii="Times Roman" w:hAnsi="Times Roman" w:hint="default"/>
          <w:b w:val="1"/>
          <w:bCs w:val="1"/>
          <w:rtl w:val="0"/>
        </w:rPr>
        <w:t>í</w:t>
      </w:r>
      <w:r>
        <w:rPr>
          <w:rFonts w:ascii="Times Roman" w:hAnsi="Times Roman"/>
          <w:b w:val="1"/>
          <w:bCs w:val="1"/>
          <w:rtl w:val="0"/>
          <w:lang w:val="pt-PT"/>
        </w:rPr>
        <w:t>sticos desse momento geol</w:t>
      </w:r>
      <w:r>
        <w:rPr>
          <w:rFonts w:ascii="Times Roman" w:hAnsi="Times Roman" w:hint="default"/>
          <w:b w:val="1"/>
          <w:bCs w:val="1"/>
          <w:rtl w:val="0"/>
          <w:lang w:val="es-ES_tradnl"/>
        </w:rPr>
        <w:t>ó</w:t>
      </w:r>
      <w:r>
        <w:rPr>
          <w:rFonts w:ascii="Times Roman" w:hAnsi="Times Roman"/>
          <w:b w:val="1"/>
          <w:bCs w:val="1"/>
          <w:rtl w:val="0"/>
          <w:lang w:val="it-IT"/>
        </w:rPr>
        <w:t>gico.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pt-PT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