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87F63" w14:textId="77777777" w:rsidR="00E435FB" w:rsidRDefault="00E435FB" w:rsidP="00E435FB">
      <w:r>
        <w:t xml:space="preserve">1) </w:t>
      </w:r>
    </w:p>
    <w:p w14:paraId="573DA249" w14:textId="1AFDFE4C" w:rsidR="00E435FB" w:rsidRDefault="00E435FB" w:rsidP="00E435FB">
      <w:r>
        <w:t xml:space="preserve">Na questão, um </w:t>
      </w:r>
      <w:proofErr w:type="spellStart"/>
      <w:r>
        <w:t>perceptron</w:t>
      </w:r>
      <w:proofErr w:type="spellEnd"/>
      <w:r>
        <w:t xml:space="preserve"> foi usado no exercício do </w:t>
      </w:r>
      <w:hyperlink r:id="rId5" w:history="1">
        <w:proofErr w:type="spellStart"/>
        <w:r w:rsidRPr="002A7C2C">
          <w:rPr>
            <w:rStyle w:val="Hyperlink"/>
          </w:rPr>
          <w:t>Cola</w:t>
        </w:r>
        <w:r w:rsidRPr="002A7C2C">
          <w:rPr>
            <w:rStyle w:val="Hyperlink"/>
          </w:rPr>
          <w:t>b</w:t>
        </w:r>
        <w:proofErr w:type="spellEnd"/>
      </w:hyperlink>
      <w:r>
        <w:t xml:space="preserve">. Ele calcula o </w:t>
      </w:r>
      <w:proofErr w:type="gramStart"/>
      <w:r>
        <w:t>resultado final</w:t>
      </w:r>
      <w:proofErr w:type="gramEnd"/>
      <w:r>
        <w:t xml:space="preserve"> de uma entrada usando a soma dos produtos dos valores de entrada e os pesos, incluindo o peso do viés (bias). A função de ativação é a função de limiar, que atribui 1 para sinais positivos e 0 para negativos. O erro é medido pela função de perda 0-1, que dá 0 se não há erro, e 1 se há. A saída do neurônio é dada pela fórmula do </w:t>
      </w:r>
      <w:proofErr w:type="gramStart"/>
      <w:r>
        <w:t>bias somado</w:t>
      </w:r>
      <w:proofErr w:type="gramEnd"/>
      <w:r>
        <w:t xml:space="preserve"> ao produto dos valores de entrada pelos seus pesos. O </w:t>
      </w:r>
      <w:proofErr w:type="spellStart"/>
      <w:r>
        <w:t>perceptron</w:t>
      </w:r>
      <w:proofErr w:type="spellEnd"/>
      <w:r>
        <w:t xml:space="preserve"> pode achar planos de divisão linear para classificar dados linearmente. Ele prevê corretamente funções lógicas AND e OR, mas falha com a XOR, que não é linearmente separável.</w:t>
      </w:r>
    </w:p>
    <w:p w14:paraId="7287B8A9" w14:textId="4F0FD185" w:rsidR="00E435FB" w:rsidRDefault="0086652C" w:rsidP="00E435FB">
      <w:r>
        <w:t>AND</w:t>
      </w:r>
    </w:p>
    <w:p w14:paraId="06B66AED" w14:textId="79AD26BC" w:rsidR="0086652C" w:rsidRDefault="0086652C" w:rsidP="00E435FB">
      <w:r w:rsidRPr="0086652C">
        <w:drawing>
          <wp:inline distT="0" distB="0" distL="0" distR="0" wp14:anchorId="02B3F5EF" wp14:editId="10282081">
            <wp:extent cx="5400040" cy="3013710"/>
            <wp:effectExtent l="228600" t="228600" r="219710" b="224790"/>
            <wp:docPr id="461985498" name="Imagem 1" descr="Desenho de 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5498" name="Imagem 1" descr="Desenho de teclado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71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42EBB6" w14:textId="1A0ED22F" w:rsidR="0086652C" w:rsidRDefault="0086652C" w:rsidP="00E435FB">
      <w:r>
        <w:t>OR</w:t>
      </w:r>
    </w:p>
    <w:p w14:paraId="32F570A9" w14:textId="307298E7" w:rsidR="0096072B" w:rsidRDefault="0096072B" w:rsidP="00E435FB">
      <w:r w:rsidRPr="0096072B">
        <w:lastRenderedPageBreak/>
        <w:drawing>
          <wp:inline distT="0" distB="0" distL="0" distR="0" wp14:anchorId="37609456" wp14:editId="03FC1F78">
            <wp:extent cx="5400040" cy="2966085"/>
            <wp:effectExtent l="228600" t="228600" r="219710" b="234315"/>
            <wp:docPr id="90219704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9704" name="Imagem 1" descr="Tela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7F5AADE" w14:textId="67C9D218" w:rsidR="0086652C" w:rsidRDefault="0096072B" w:rsidP="00E435FB">
      <w:r>
        <w:t>XOR</w:t>
      </w:r>
    </w:p>
    <w:p w14:paraId="0E8A147A" w14:textId="75E9E8EB" w:rsidR="0096072B" w:rsidRDefault="0096072B" w:rsidP="00E435FB">
      <w:r w:rsidRPr="0096072B">
        <w:drawing>
          <wp:inline distT="0" distB="0" distL="0" distR="0" wp14:anchorId="29996DF8" wp14:editId="7E1C7A76">
            <wp:extent cx="2791215" cy="1848108"/>
            <wp:effectExtent l="0" t="0" r="9525" b="0"/>
            <wp:docPr id="69239301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93019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CC9C" w14:textId="77777777" w:rsidR="004375D7" w:rsidRDefault="004375D7" w:rsidP="00E435FB"/>
    <w:p w14:paraId="0FDA9D8E" w14:textId="11C6B40B" w:rsidR="00E435FB" w:rsidRDefault="00E435FB" w:rsidP="00E435FB">
      <w:r>
        <w:t>As tabelas verdade demonstram isso:</w:t>
      </w:r>
    </w:p>
    <w:p w14:paraId="003CE8B3" w14:textId="50660CB7" w:rsidR="00E435FB" w:rsidRDefault="00E435FB" w:rsidP="00E435FB">
      <w:r>
        <w:t>Para OR (A || B):</w:t>
      </w:r>
    </w:p>
    <w:p w14:paraId="3BB7D206" w14:textId="77777777" w:rsidR="00E435FB" w:rsidRDefault="00E435FB" w:rsidP="00E435FB">
      <w:r>
        <w:t>Se A e B são verdadeiros, o resultado é verdadeiro.</w:t>
      </w:r>
    </w:p>
    <w:p w14:paraId="16011676" w14:textId="77777777" w:rsidR="00E435FB" w:rsidRDefault="00E435FB" w:rsidP="00E435FB">
      <w:r>
        <w:t>Se A é verdadeiro e B é falso, o resultado é verdadeiro.</w:t>
      </w:r>
    </w:p>
    <w:p w14:paraId="42C76C68" w14:textId="77777777" w:rsidR="00E435FB" w:rsidRDefault="00E435FB" w:rsidP="00E435FB">
      <w:r>
        <w:t>Se A é falso e B é verdadeiro, o resultado é verdadeiro.</w:t>
      </w:r>
    </w:p>
    <w:p w14:paraId="5758317C" w14:textId="34B99E05" w:rsidR="00E968D3" w:rsidRDefault="00E435FB" w:rsidP="00E435FB">
      <w:r>
        <w:t>Se A e B são falsos, o resultado é falso.</w:t>
      </w:r>
    </w:p>
    <w:p w14:paraId="46017843" w14:textId="77777777" w:rsidR="004375D7" w:rsidRDefault="004375D7" w:rsidP="00E435FB"/>
    <w:p w14:paraId="6DD358AE" w14:textId="283B8162" w:rsidR="004375D7" w:rsidRDefault="004375D7" w:rsidP="00E435FB">
      <w:r>
        <w:t xml:space="preserve">Código disponível </w:t>
      </w:r>
      <w:proofErr w:type="gramStart"/>
      <w:r>
        <w:t>em :</w:t>
      </w:r>
      <w:proofErr w:type="gramEnd"/>
      <w:r>
        <w:t xml:space="preserve"> </w:t>
      </w:r>
      <w:hyperlink r:id="rId9" w:history="1">
        <w:r w:rsidR="00892F92" w:rsidRPr="003B3C52">
          <w:rPr>
            <w:rStyle w:val="Hyperlink"/>
          </w:rPr>
          <w:t>https://colab.research.google.com/drive/1QzWKJrX5WRwhC1gj5Jyhv2YGlkFMu82o?usp=sharing</w:t>
        </w:r>
      </w:hyperlink>
    </w:p>
    <w:p w14:paraId="0983DA92" w14:textId="77777777" w:rsidR="00892F92" w:rsidRDefault="00892F92" w:rsidP="00E435FB"/>
    <w:p w14:paraId="6CEA9006" w14:textId="0E807DE8" w:rsidR="00892F92" w:rsidRDefault="00892F92" w:rsidP="00E435FB">
      <w:r>
        <w:t>2) Letra C</w:t>
      </w:r>
    </w:p>
    <w:p w14:paraId="0B652B52" w14:textId="77777777" w:rsidR="00892F92" w:rsidRDefault="00892F92" w:rsidP="00E435FB"/>
    <w:p w14:paraId="6303160F" w14:textId="4D4FD43C" w:rsidR="00892F92" w:rsidRDefault="00892F92" w:rsidP="00E435FB">
      <w:r>
        <w:t xml:space="preserve">3) </w:t>
      </w:r>
      <w:r w:rsidR="007F5BF0">
        <w:t xml:space="preserve">Letra C </w:t>
      </w:r>
    </w:p>
    <w:p w14:paraId="7F91897C" w14:textId="77777777" w:rsidR="007F5BF0" w:rsidRDefault="007F5BF0" w:rsidP="00E435FB"/>
    <w:p w14:paraId="055CD31F" w14:textId="77777777" w:rsidR="007F5BF0" w:rsidRDefault="007F5BF0" w:rsidP="00E435FB">
      <w:r>
        <w:t xml:space="preserve">4) </w:t>
      </w:r>
    </w:p>
    <w:p w14:paraId="2E03A946" w14:textId="77777777" w:rsidR="007F5BF0" w:rsidRDefault="007F5BF0" w:rsidP="00E435FB">
      <w:r>
        <w:t xml:space="preserve">0.5 </w:t>
      </w:r>
      <w:r>
        <w:rPr>
          <w:rFonts w:ascii="Cambria Math" w:hAnsi="Cambria Math" w:cs="Cambria Math"/>
        </w:rPr>
        <w:t>∗</w:t>
      </w:r>
      <w:r>
        <w:t xml:space="preserve"> 1 + 0.4 </w:t>
      </w:r>
      <w:r>
        <w:rPr>
          <w:rFonts w:ascii="Cambria Math" w:hAnsi="Cambria Math" w:cs="Cambria Math"/>
        </w:rPr>
        <w:t>∗</w:t>
      </w:r>
      <w:r>
        <w:t xml:space="preserve"> 1 + (</w:t>
      </w:r>
      <w:r>
        <w:rPr>
          <w:rFonts w:ascii="Calibri" w:hAnsi="Calibri" w:cs="Calibri"/>
        </w:rPr>
        <w:t>−</w:t>
      </w:r>
      <w:r>
        <w:t xml:space="preserve">0.3 </w:t>
      </w:r>
      <w:r>
        <w:rPr>
          <w:rFonts w:ascii="Cambria Math" w:hAnsi="Cambria Math" w:cs="Cambria Math"/>
        </w:rPr>
        <w:t>∗</w:t>
      </w:r>
      <w:r>
        <w:t xml:space="preserve"> 1) = 1 </w:t>
      </w:r>
    </w:p>
    <w:p w14:paraId="6E5BC927" w14:textId="77777777" w:rsidR="00BB72B0" w:rsidRDefault="007F5BF0" w:rsidP="00E435FB">
      <w:r>
        <w:t xml:space="preserve">0.5 </w:t>
      </w:r>
      <w:r>
        <w:rPr>
          <w:rFonts w:ascii="Cambria Math" w:hAnsi="Cambria Math" w:cs="Cambria Math"/>
        </w:rPr>
        <w:t>∗</w:t>
      </w:r>
      <w:r>
        <w:t xml:space="preserve"> 1 + 0.4 </w:t>
      </w:r>
      <w:r>
        <w:rPr>
          <w:rFonts w:ascii="Cambria Math" w:hAnsi="Cambria Math" w:cs="Cambria Math"/>
        </w:rPr>
        <w:t>∗</w:t>
      </w:r>
      <w:r>
        <w:t xml:space="preserve"> 0 + (</w:t>
      </w:r>
      <w:r>
        <w:rPr>
          <w:rFonts w:ascii="Calibri" w:hAnsi="Calibri" w:cs="Calibri"/>
        </w:rPr>
        <w:t>−</w:t>
      </w:r>
      <w:r>
        <w:t xml:space="preserve">0.3 </w:t>
      </w:r>
      <w:r>
        <w:rPr>
          <w:rFonts w:ascii="Cambria Math" w:hAnsi="Cambria Math" w:cs="Cambria Math"/>
        </w:rPr>
        <w:t>∗</w:t>
      </w:r>
      <w:r>
        <w:t xml:space="preserve"> 1) = 1</w:t>
      </w:r>
    </w:p>
    <w:p w14:paraId="1B099366" w14:textId="77777777" w:rsidR="00BB72B0" w:rsidRDefault="007F5BF0" w:rsidP="00E435FB">
      <w:r>
        <w:t xml:space="preserve"> 0.5 </w:t>
      </w:r>
      <w:r>
        <w:rPr>
          <w:rFonts w:ascii="Cambria Math" w:hAnsi="Cambria Math" w:cs="Cambria Math"/>
        </w:rPr>
        <w:t>∗</w:t>
      </w:r>
      <w:r>
        <w:t xml:space="preserve"> 0 + 0.4 </w:t>
      </w:r>
      <w:r>
        <w:rPr>
          <w:rFonts w:ascii="Cambria Math" w:hAnsi="Cambria Math" w:cs="Cambria Math"/>
        </w:rPr>
        <w:t>∗</w:t>
      </w:r>
      <w:r>
        <w:t xml:space="preserve"> 1 + (</w:t>
      </w:r>
      <w:r>
        <w:rPr>
          <w:rFonts w:ascii="Calibri" w:hAnsi="Calibri" w:cs="Calibri"/>
        </w:rPr>
        <w:t>−</w:t>
      </w:r>
      <w:r>
        <w:t xml:space="preserve">0.3 </w:t>
      </w:r>
      <w:r>
        <w:rPr>
          <w:rFonts w:ascii="Cambria Math" w:hAnsi="Cambria Math" w:cs="Cambria Math"/>
        </w:rPr>
        <w:t>∗</w:t>
      </w:r>
      <w:r>
        <w:t xml:space="preserve"> 1) = 1 </w:t>
      </w:r>
    </w:p>
    <w:p w14:paraId="188D9E3D" w14:textId="77777777" w:rsidR="00BB72B0" w:rsidRDefault="007F5BF0" w:rsidP="00E435FB">
      <w:r>
        <w:t xml:space="preserve">0.5 </w:t>
      </w:r>
      <w:r>
        <w:rPr>
          <w:rFonts w:ascii="Cambria Math" w:hAnsi="Cambria Math" w:cs="Cambria Math"/>
        </w:rPr>
        <w:t>∗</w:t>
      </w:r>
      <w:r>
        <w:t xml:space="preserve"> 0 + 0.4 </w:t>
      </w:r>
      <w:r>
        <w:rPr>
          <w:rFonts w:ascii="Cambria Math" w:hAnsi="Cambria Math" w:cs="Cambria Math"/>
        </w:rPr>
        <w:t>∗</w:t>
      </w:r>
      <w:r>
        <w:t xml:space="preserve"> 0 + (</w:t>
      </w:r>
      <w:r>
        <w:rPr>
          <w:rFonts w:ascii="Calibri" w:hAnsi="Calibri" w:cs="Calibri"/>
        </w:rPr>
        <w:t>−</w:t>
      </w:r>
      <w:r>
        <w:t xml:space="preserve">0.3 </w:t>
      </w:r>
      <w:r>
        <w:rPr>
          <w:rFonts w:ascii="Cambria Math" w:hAnsi="Cambria Math" w:cs="Cambria Math"/>
        </w:rPr>
        <w:t>∗</w:t>
      </w:r>
      <w:r>
        <w:t xml:space="preserve"> 1) = 0 </w:t>
      </w:r>
    </w:p>
    <w:p w14:paraId="7A0584C0" w14:textId="0BFC5398" w:rsidR="007F5BF0" w:rsidRDefault="007F5BF0" w:rsidP="00E435FB"/>
    <w:p w14:paraId="5A967AD1" w14:textId="7A2E0287" w:rsidR="00BB72B0" w:rsidRDefault="00BB72B0" w:rsidP="00E435FB">
      <w:r>
        <w:t>Letra C</w:t>
      </w:r>
    </w:p>
    <w:p w14:paraId="468D3A31" w14:textId="77777777" w:rsidR="00BB72B0" w:rsidRDefault="00BB72B0" w:rsidP="00E435FB"/>
    <w:p w14:paraId="5E3C6A58" w14:textId="000DB852" w:rsidR="00BB72B0" w:rsidRDefault="00BB72B0" w:rsidP="00E435FB">
      <w:r>
        <w:t xml:space="preserve">5) </w:t>
      </w:r>
      <w:r w:rsidR="00860158">
        <w:t xml:space="preserve">Veja em: </w:t>
      </w:r>
      <w:hyperlink r:id="rId10" w:history="1">
        <w:r w:rsidR="00860158" w:rsidRPr="003B3C52">
          <w:rPr>
            <w:rStyle w:val="Hyperlink"/>
          </w:rPr>
          <w:t>https://colab.research.google.com/drive/1QzWKJrX5WRwhC1gj5Jyhv2YGlkFMu82o?usp=sharing</w:t>
        </w:r>
      </w:hyperlink>
    </w:p>
    <w:p w14:paraId="1EC9C646" w14:textId="77777777" w:rsidR="00EC1DBC" w:rsidRDefault="00EC1DBC" w:rsidP="00E435FB"/>
    <w:p w14:paraId="004D2A4A" w14:textId="77777777" w:rsidR="00C37AEF" w:rsidRDefault="00EC1DBC" w:rsidP="00C37AEF">
      <w:proofErr w:type="spellStart"/>
      <w:proofErr w:type="gramStart"/>
      <w:r>
        <w:t>Pre</w:t>
      </w:r>
      <w:proofErr w:type="spellEnd"/>
      <w:r>
        <w:t xml:space="preserve"> processamento</w:t>
      </w:r>
      <w:proofErr w:type="gramEnd"/>
      <w:r>
        <w:t xml:space="preserve">: </w:t>
      </w:r>
    </w:p>
    <w:p w14:paraId="43956217" w14:textId="2B5C0D7C" w:rsidR="00EC1DBC" w:rsidRDefault="00C37AEF" w:rsidP="00C37AEF">
      <w:r>
        <w:t xml:space="preserve">No pré-processamento, os atributos nominais foram convertidos em numéricos para uso em algoritmos de aprendizado de máquina, utilizando técnicas como codificação </w:t>
      </w:r>
      <w:proofErr w:type="spellStart"/>
      <w:r>
        <w:t>one</w:t>
      </w:r>
      <w:proofErr w:type="spellEnd"/>
      <w:r>
        <w:t xml:space="preserve">-hot. Outliers, ou pontos de dados anômalos, foram identificados e tratados, mas não havia nenhum significativo. A normalização, que ajusta os valores para uma escala comum, não foi necessária devido à natureza categórica dos dados. O balanceamento de classes não foi mencionado como um problema, sugerindo uma distribuição equitativa de classes. Mais detalhes estão no </w:t>
      </w:r>
      <w:proofErr w:type="spellStart"/>
      <w:r>
        <w:t>Colab</w:t>
      </w:r>
      <w:proofErr w:type="spellEnd"/>
      <w:r>
        <w:t xml:space="preserve"> da Lista 7.</w:t>
      </w:r>
    </w:p>
    <w:p w14:paraId="146908B5" w14:textId="77777777" w:rsidR="00C37AEF" w:rsidRDefault="00C37AEF" w:rsidP="00C37AEF"/>
    <w:p w14:paraId="6CEAF056" w14:textId="02817B86" w:rsidR="00C37AEF" w:rsidRDefault="00155F4D" w:rsidP="00C37AEF">
      <w:r>
        <w:t xml:space="preserve">Escolha de parâmetros: </w:t>
      </w:r>
      <w:r w:rsidRPr="00155F4D">
        <w:t xml:space="preserve">Durante a avaliação e escolha dos </w:t>
      </w:r>
      <w:proofErr w:type="spellStart"/>
      <w:r w:rsidRPr="00155F4D">
        <w:t>hiperparâmetros</w:t>
      </w:r>
      <w:proofErr w:type="spellEnd"/>
      <w:r w:rsidRPr="00155F4D">
        <w:t xml:space="preserve">, foram empregados métodos como Grid Search, </w:t>
      </w:r>
      <w:proofErr w:type="spellStart"/>
      <w:r w:rsidRPr="00155F4D">
        <w:t>CVParameterSelection</w:t>
      </w:r>
      <w:proofErr w:type="spellEnd"/>
      <w:r w:rsidRPr="00155F4D">
        <w:t xml:space="preserve"> e </w:t>
      </w:r>
      <w:proofErr w:type="spellStart"/>
      <w:r w:rsidRPr="00155F4D">
        <w:t>MultiSearch</w:t>
      </w:r>
      <w:proofErr w:type="spellEnd"/>
      <w:r w:rsidRPr="00155F4D">
        <w:t xml:space="preserve"> para determinar os mais eficazes. As heurísticas para definir o número de neurônios na camada oculta incluíram a regra da média, regra da raiz quadrada, regra de </w:t>
      </w:r>
      <w:proofErr w:type="spellStart"/>
      <w:r w:rsidRPr="00155F4D">
        <w:t>Kolmogorov</w:t>
      </w:r>
      <w:proofErr w:type="spellEnd"/>
      <w:r w:rsidRPr="00155F4D">
        <w:t xml:space="preserve"> e um valor padrão da biblioteca </w:t>
      </w:r>
      <w:proofErr w:type="spellStart"/>
      <w:r w:rsidRPr="00155F4D">
        <w:t>sci</w:t>
      </w:r>
      <w:proofErr w:type="spellEnd"/>
      <w:r w:rsidRPr="00155F4D">
        <w:t xml:space="preserve">-kit </w:t>
      </w:r>
      <w:proofErr w:type="spellStart"/>
      <w:r w:rsidRPr="00155F4D">
        <w:t>learn</w:t>
      </w:r>
      <w:proofErr w:type="spellEnd"/>
      <w:r w:rsidRPr="00155F4D">
        <w:t xml:space="preserve">. A taxa de aprendizado também foi determinada por esses métodos, optando-se entre três valores específicos. Detalhes adicionais estão disponíveis no </w:t>
      </w:r>
      <w:proofErr w:type="spellStart"/>
      <w:r w:rsidRPr="00155F4D">
        <w:t>Colab</w:t>
      </w:r>
      <w:proofErr w:type="spellEnd"/>
      <w:r w:rsidRPr="00155F4D">
        <w:t xml:space="preserve"> da Lista 7.</w:t>
      </w:r>
    </w:p>
    <w:p w14:paraId="46D390B2" w14:textId="53A3FD47" w:rsidR="00375A0B" w:rsidRDefault="00375A0B" w:rsidP="00C37AEF"/>
    <w:p w14:paraId="149DBB19" w14:textId="6599A609" w:rsidR="00375A0B" w:rsidRDefault="00B21D49" w:rsidP="00C37AEF">
      <w:pPr>
        <w:rPr>
          <w:noProof/>
        </w:rPr>
      </w:pPr>
      <w:r w:rsidRPr="00B21D49">
        <w:drawing>
          <wp:anchor distT="0" distB="0" distL="114300" distR="114300" simplePos="0" relativeHeight="251658240" behindDoc="0" locked="0" layoutInCell="1" allowOverlap="1" wp14:anchorId="40E7014D" wp14:editId="52839291">
            <wp:simplePos x="0" y="0"/>
            <wp:positionH relativeFrom="margin">
              <wp:align>left</wp:align>
            </wp:positionH>
            <wp:positionV relativeFrom="paragraph">
              <wp:posOffset>276860</wp:posOffset>
            </wp:positionV>
            <wp:extent cx="1819275" cy="180975"/>
            <wp:effectExtent l="0" t="0" r="9525" b="9525"/>
            <wp:wrapTopAndBottom/>
            <wp:docPr id="551239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395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A0B">
        <w:t>Resultados:</w:t>
      </w:r>
      <w:r w:rsidRPr="00B21D49">
        <w:rPr>
          <w:noProof/>
        </w:rPr>
        <w:t xml:space="preserve"> </w:t>
      </w:r>
    </w:p>
    <w:p w14:paraId="7360F861" w14:textId="17A0628F" w:rsidR="00B21D49" w:rsidRDefault="00B21D49" w:rsidP="00C37AEF">
      <w:r w:rsidRPr="00B21D49">
        <w:lastRenderedPageBreak/>
        <w:drawing>
          <wp:anchor distT="0" distB="0" distL="114300" distR="114300" simplePos="0" relativeHeight="251659264" behindDoc="0" locked="0" layoutInCell="1" allowOverlap="1" wp14:anchorId="7EF1C862" wp14:editId="6B09709E">
            <wp:simplePos x="0" y="0"/>
            <wp:positionH relativeFrom="column">
              <wp:posOffset>-120015</wp:posOffset>
            </wp:positionH>
            <wp:positionV relativeFrom="paragraph">
              <wp:posOffset>0</wp:posOffset>
            </wp:positionV>
            <wp:extent cx="5067935" cy="1704975"/>
            <wp:effectExtent l="0" t="0" r="0" b="9525"/>
            <wp:wrapTopAndBottom/>
            <wp:docPr id="20270330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306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8E1D4" w14:textId="77777777" w:rsidR="00860158" w:rsidRDefault="00860158" w:rsidP="00E435FB"/>
    <w:p w14:paraId="44D31FEB" w14:textId="54728B46" w:rsidR="00D54A4B" w:rsidRDefault="00D54A4B" w:rsidP="00D54A4B">
      <w:r>
        <w:t xml:space="preserve">6) </w:t>
      </w:r>
      <w:r>
        <w:t>O artigo mencionado oferece uma revisão detalhada sobre estratégias para tornar os modelos de aprendizado de máquina, especialmente aqueles considerados "caixas pretas" como as redes neurais profundas, mais interpretáveis. A preocupação central é que, apesar do alto desempenho, a falta de transparência nessas técnicas pode ser um impedimento, especialmente em setores onde entender as decisões tomadas pela máquina é crucial.</w:t>
      </w:r>
    </w:p>
    <w:p w14:paraId="23DA6E45" w14:textId="5B030C32" w:rsidR="00D54A4B" w:rsidRDefault="00D54A4B" w:rsidP="00D54A4B">
      <w:r>
        <w:t>O texto se aprofunda em classificar e discutir as várias abordagens desenvolvidas para explicar e interpretar esses modelos. Os métodos são agrupados em:</w:t>
      </w:r>
    </w:p>
    <w:p w14:paraId="0DC50F3B" w14:textId="77777777" w:rsidR="00D54A4B" w:rsidRDefault="00D54A4B" w:rsidP="00D54A4B">
      <w:r>
        <w:t>Pós-processamento: Técnicas aplicadas após o treinamento do modelo para elucidar suas decisões.</w:t>
      </w:r>
    </w:p>
    <w:p w14:paraId="5BE60CD2" w14:textId="77777777" w:rsidR="00D54A4B" w:rsidRDefault="00D54A4B" w:rsidP="00D54A4B">
      <w:r>
        <w:t xml:space="preserve">Intrínsecos: Abordagens onde a </w:t>
      </w:r>
      <w:proofErr w:type="spellStart"/>
      <w:r>
        <w:t>interpretabilidade</w:t>
      </w:r>
      <w:proofErr w:type="spellEnd"/>
      <w:r>
        <w:t xml:space="preserve"> é incorporada diretamente na arquitetura do modelo.</w:t>
      </w:r>
    </w:p>
    <w:p w14:paraId="2386AB95" w14:textId="77777777" w:rsidR="00D54A4B" w:rsidRDefault="00D54A4B" w:rsidP="00D54A4B">
      <w:r>
        <w:t>Aproximação: Métodos que criam modelos mais simples e compreensíveis que se aproximam do comportamento do modelo original.</w:t>
      </w:r>
    </w:p>
    <w:p w14:paraId="13669181" w14:textId="597E2B67" w:rsidR="00D54A4B" w:rsidRDefault="00D54A4B" w:rsidP="00D54A4B">
      <w:r>
        <w:t xml:space="preserve">Cada uma dessas categorias é examinada em detalhes, considerando suas vantagens e limitações e as situações em que são mais aplicáveis. O artigo se concentra particularmente na explicação de previsões individuais, ou seja, </w:t>
      </w:r>
      <w:proofErr w:type="spellStart"/>
      <w:r>
        <w:t>fornecer</w:t>
      </w:r>
      <w:proofErr w:type="spellEnd"/>
      <w:r>
        <w:t xml:space="preserve"> uma justificativa compreensível para a saída de um modelo em resposta a uma entrada específica, em vez de explicar seu funcionamento interno completo.</w:t>
      </w:r>
    </w:p>
    <w:p w14:paraId="5C9B2F98" w14:textId="5ED2B551" w:rsidR="00D54A4B" w:rsidRDefault="00D54A4B" w:rsidP="00D54A4B">
      <w:r>
        <w:t>Além de descrever essas técnicas, o artigo aborda o desafio de inspecionar e compreender o funcionamento interno dos modelos de caixa preta e as razões por trás de suas previsões. Isso envolve criar representações, visuais ou textuais, que possam elucidar o processo de tomada de decisão do modelo.</w:t>
      </w:r>
    </w:p>
    <w:p w14:paraId="1B12425F" w14:textId="16E02C5B" w:rsidR="00D54A4B" w:rsidRDefault="00D54A4B" w:rsidP="00D54A4B">
      <w:r>
        <w:t>As Figuras 8 e 9 no artigo exemplificam algumas das técnicas discutidas para resolver esses problemas, enquanto a avaliação das explicações geradas também é considerada importante pelos autores. Eles discutem métricas de avaliação que podem ser usadas para medir a eficácia e a qualidade das explicações fornecidas pelos modelos.</w:t>
      </w:r>
    </w:p>
    <w:p w14:paraId="3BD171C3" w14:textId="1788135C" w:rsidR="005A2895" w:rsidRDefault="00D54A4B" w:rsidP="00D54A4B">
      <w:r>
        <w:t xml:space="preserve">O artigo termina com uma discussão sobre futuras tendências e desafios na área de </w:t>
      </w:r>
      <w:proofErr w:type="spellStart"/>
      <w:r>
        <w:t>interpretabilidade</w:t>
      </w:r>
      <w:proofErr w:type="spellEnd"/>
      <w:r>
        <w:t xml:space="preserve"> de modelos de aprendizado de máquina, enfatizando que a área está em constante evolução e que a </w:t>
      </w:r>
      <w:proofErr w:type="spellStart"/>
      <w:r>
        <w:t>interpretabilidade</w:t>
      </w:r>
      <w:proofErr w:type="spellEnd"/>
      <w:r>
        <w:t xml:space="preserve"> é cada vez mais demandada para aplicações críticas. O autor reforça a necessidade de pesquisa contínua para desenvolver técnicas que </w:t>
      </w:r>
      <w:r>
        <w:lastRenderedPageBreak/>
        <w:t xml:space="preserve">possam explicar efetivamente os modelos de aprendizado de máquina, </w:t>
      </w:r>
      <w:r w:rsidR="00A5482A">
        <w:t>mantendo-os ao</w:t>
      </w:r>
      <w:r>
        <w:t xml:space="preserve"> tempo precisos e confiáveis.</w:t>
      </w:r>
    </w:p>
    <w:p w14:paraId="7FC7472E" w14:textId="77777777" w:rsidR="00D54A4B" w:rsidRDefault="00D54A4B" w:rsidP="00D54A4B"/>
    <w:p w14:paraId="6E9CB76E" w14:textId="77777777" w:rsidR="00A5482A" w:rsidRDefault="00D54A4B" w:rsidP="00A5482A">
      <w:r>
        <w:t xml:space="preserve">7) </w:t>
      </w:r>
      <w:r w:rsidR="00A5482A">
        <w:t>O documentário "</w:t>
      </w:r>
      <w:proofErr w:type="spellStart"/>
      <w:r w:rsidR="00A5482A">
        <w:t>Coded</w:t>
      </w:r>
      <w:proofErr w:type="spellEnd"/>
      <w:r w:rsidR="00A5482A">
        <w:t xml:space="preserve"> Bias" da Netflix explora os temas de viés e injustiça nos algoritmos de aprendizado de máquina. Ele destaca como os sistemas de inteligência artificial (IA), incluindo o reconhecimento facial, podem perpetuar preconceitos raciais e de gênero. O documentário segue pesquisadores como </w:t>
      </w:r>
      <w:proofErr w:type="spellStart"/>
      <w:r w:rsidR="00A5482A">
        <w:t>Joy</w:t>
      </w:r>
      <w:proofErr w:type="spellEnd"/>
      <w:r w:rsidR="00A5482A">
        <w:t xml:space="preserve"> </w:t>
      </w:r>
      <w:proofErr w:type="spellStart"/>
      <w:r w:rsidR="00A5482A">
        <w:t>Buolamwini</w:t>
      </w:r>
      <w:proofErr w:type="spellEnd"/>
      <w:r w:rsidR="00A5482A">
        <w:t>, cujo trabalho revelou alta taxa de erros em softwares de reconhecimento facial, especialmente em rostos de mulheres negras. Isso levanta questões sobre a confiabilidade e ética do uso de IA na vida cotidiana e em sistemas de tomada de decisão críticos, como contratação de empregos, empréstimos e aplicação da lei.</w:t>
      </w:r>
    </w:p>
    <w:p w14:paraId="0D35EB1A" w14:textId="77777777" w:rsidR="00A5482A" w:rsidRDefault="00A5482A" w:rsidP="00A5482A"/>
    <w:p w14:paraId="4FDBC47F" w14:textId="68890CE6" w:rsidR="00D54A4B" w:rsidRDefault="00A5482A" w:rsidP="00A5482A">
      <w:r>
        <w:t xml:space="preserve">A relação desse documentário com o artigo "A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for </w:t>
      </w:r>
      <w:proofErr w:type="spellStart"/>
      <w:r>
        <w:t>Explaining</w:t>
      </w:r>
      <w:proofErr w:type="spellEnd"/>
      <w:r>
        <w:t xml:space="preserve"> Black Box Models" é bastante direta. O artigo discute métodos para tornar os modelos de aprendizado de máquina mais transparentes e interpretáveis, o que pode ajudar a identificar e mitigar o viés. Ao melhorar a </w:t>
      </w:r>
      <w:proofErr w:type="spellStart"/>
      <w:r>
        <w:t>interpretabilidade</w:t>
      </w:r>
      <w:proofErr w:type="spellEnd"/>
      <w:r>
        <w:t xml:space="preserve"> dos modelos, os pesquisadores e desenvolvedores podem entender melhor como e por que certas decisões são tomadas, o que é crucial para assegurar que os sistemas de IA sejam justos e não discriminatórios. Ambos destacam a necessidade de abordar as implicações éticas da IA e de desenvolver tecnologia de maneira responsável.</w:t>
      </w:r>
    </w:p>
    <w:sectPr w:rsidR="00D54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2F96"/>
    <w:multiLevelType w:val="hybridMultilevel"/>
    <w:tmpl w:val="BA6094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75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A3"/>
    <w:rsid w:val="00155F4D"/>
    <w:rsid w:val="002A7C2C"/>
    <w:rsid w:val="00375A0B"/>
    <w:rsid w:val="004375D7"/>
    <w:rsid w:val="005A2895"/>
    <w:rsid w:val="005E6026"/>
    <w:rsid w:val="006E5FA3"/>
    <w:rsid w:val="007F5BF0"/>
    <w:rsid w:val="00860158"/>
    <w:rsid w:val="0086652C"/>
    <w:rsid w:val="00892F92"/>
    <w:rsid w:val="0096072B"/>
    <w:rsid w:val="00A5482A"/>
    <w:rsid w:val="00B21D49"/>
    <w:rsid w:val="00BB72B0"/>
    <w:rsid w:val="00C37AEF"/>
    <w:rsid w:val="00D54A4B"/>
    <w:rsid w:val="00E435FB"/>
    <w:rsid w:val="00E968D3"/>
    <w:rsid w:val="00EC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679E"/>
  <w15:chartTrackingRefBased/>
  <w15:docId w15:val="{A93ACFFD-5459-493A-9644-2C4C8A89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5F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A7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7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A7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lab.research.google.com/drive/1QzWKJrX5WRwhC1gj5Jyhv2YGlkFMu82o?usp=sharing" TargetMode="External"/><Relationship Id="rId10" Type="http://schemas.openxmlformats.org/officeDocument/2006/relationships/hyperlink" Target="https://colab.research.google.com/drive/1QzWKJrX5WRwhC1gj5Jyhv2YGlkFMu82o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QzWKJrX5WRwhC1gj5Jyhv2YGlkFMu82o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1004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18</cp:revision>
  <dcterms:created xsi:type="dcterms:W3CDTF">2023-11-08T12:35:00Z</dcterms:created>
  <dcterms:modified xsi:type="dcterms:W3CDTF">2023-11-08T12:51:00Z</dcterms:modified>
</cp:coreProperties>
</file>