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funcionario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matricula int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nome varchar 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endereco varchar(200),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sexo char,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cargo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salario NUMERIC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CONSTRAINT PK_FUNCIONARIO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 (matricula);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codigo int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nomeP varchar 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categoria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estoque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preco NUMERIC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 produto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CONSTRAINT PK_PRODUTO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PRIMARY KEY (codigo);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venda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codigoV int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prod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vendedor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quantidade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dataV 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venda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CONSTRAINT PK_VENDA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PRIMARY KEY (codigoV),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CONSTRAINT FK_COD_PROD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(prod)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REFERENCES PRODUTO (codigo),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CONSTRAINT FK_MAT_FUNC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FOREIGN KEY (vendedor)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REFERENCES FUNCIONARIO (matricula);</w:t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395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395836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395836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Fontepargpadro"/>
    <w:rsid w:val="0039583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1JfN1MzszstLmALQ2/dpVOsiQ==">AMUW2mVjnhLI4pZkAgXyZmOl/BalHTXv4MAfcZ/CANttAIIrq7+mUrFfpawsvyGO6G3HjwOV37ehS0JjLAXsYaQg20mITJ+TAEuZZKGyXSzgAT2+dzfpyHY=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2022-11-03T00:18:00Z</dcterms:created>
  <dc:creator>Ana Cecília Holanda Correia Lima</dc:creator>
</cp:coreProperties>
</file>