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1439"/>
        <w:tblW w:w="11130" w:type="dxa"/>
        <w:tblBorders>
          <w:top w:val="nil"/>
          <w:left w:val="nil"/>
          <w:bottom w:val="nil"/>
          <w:right w:val="nil"/>
          <w:insideH w:val="nil"/>
          <w:insideV w:val="nil"/>
        </w:tblBorders>
        <w:tblLayout w:type="fixed"/>
        <w:tblLook w:val="0600" w:firstRow="0" w:lastRow="0" w:firstColumn="0" w:lastColumn="0" w:noHBand="1" w:noVBand="1"/>
      </w:tblPr>
      <w:tblGrid>
        <w:gridCol w:w="2280"/>
        <w:gridCol w:w="2280"/>
        <w:gridCol w:w="2175"/>
        <w:gridCol w:w="2175"/>
        <w:gridCol w:w="2220"/>
      </w:tblGrid>
      <w:tr w:rsidR="00016192" w14:paraId="3FB38C56" w14:textId="77777777" w:rsidTr="00857ADC">
        <w:trPr>
          <w:trHeight w:val="555"/>
        </w:trPr>
        <w:tc>
          <w:tcPr>
            <w:tcW w:w="2280" w:type="dxa"/>
            <w:tcBorders>
              <w:top w:val="single" w:sz="6" w:space="0" w:color="000000"/>
              <w:left w:val="single" w:sz="6" w:space="0" w:color="000000"/>
              <w:bottom w:val="single" w:sz="6" w:space="0" w:color="000000"/>
              <w:right w:val="single" w:sz="6" w:space="0" w:color="000000"/>
            </w:tcBorders>
          </w:tcPr>
          <w:p w14:paraId="52C6AC2B" w14:textId="77777777" w:rsidR="00016192" w:rsidRDefault="00016192" w:rsidP="00857ADC">
            <w:pPr>
              <w:widowControl w:val="0"/>
              <w:spacing w:before="240" w:line="276" w:lineRule="auto"/>
            </w:pPr>
            <w:r>
              <w:rPr>
                <w:rFonts w:ascii="Cambria" w:eastAsia="Cambria" w:hAnsi="Cambria" w:cs="Cambria"/>
              </w:rPr>
              <w:t>Código</w:t>
            </w:r>
          </w:p>
        </w:tc>
        <w:tc>
          <w:tcPr>
            <w:tcW w:w="22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C7D34D" w14:textId="77777777" w:rsidR="00016192" w:rsidRDefault="00016192" w:rsidP="00857ADC">
            <w:pPr>
              <w:widowControl w:val="0"/>
              <w:spacing w:before="240" w:line="276" w:lineRule="auto"/>
              <w:jc w:val="both"/>
              <w:rPr>
                <w:rFonts w:ascii="Cambria" w:eastAsia="Cambria" w:hAnsi="Cambria" w:cs="Cambria"/>
              </w:rPr>
            </w:pPr>
            <w:sdt>
              <w:sdtPr>
                <w:tag w:val="goog_rdk_0"/>
                <w:id w:val="-424349536"/>
              </w:sdtPr>
              <w:sdtContent>
                <w:commentRangeStart w:id="0"/>
              </w:sdtContent>
            </w:sdt>
            <w:r>
              <w:rPr>
                <w:rFonts w:ascii="Cambria" w:eastAsia="Cambria" w:hAnsi="Cambria" w:cs="Cambria"/>
              </w:rPr>
              <w:t>Objeto</w:t>
            </w:r>
          </w:p>
        </w:tc>
        <w:commentRangeEnd w:id="0"/>
        <w:tc>
          <w:tcPr>
            <w:tcW w:w="21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F01F71B" w14:textId="77777777" w:rsidR="00016192" w:rsidRDefault="00016192" w:rsidP="00857ADC">
            <w:pPr>
              <w:widowControl w:val="0"/>
              <w:spacing w:before="240" w:line="276" w:lineRule="auto"/>
              <w:jc w:val="both"/>
              <w:rPr>
                <w:rFonts w:ascii="Cambria" w:eastAsia="Cambria" w:hAnsi="Cambria" w:cs="Cambria"/>
              </w:rPr>
            </w:pPr>
            <w:r>
              <w:commentReference w:id="0"/>
            </w:r>
            <w:r>
              <w:rPr>
                <w:rFonts w:ascii="Cambria" w:eastAsia="Cambria" w:hAnsi="Cambria" w:cs="Cambria"/>
              </w:rPr>
              <w:t xml:space="preserve">descripción </w:t>
            </w:r>
          </w:p>
        </w:tc>
        <w:tc>
          <w:tcPr>
            <w:tcW w:w="21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971A140"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característica representativa </w:t>
            </w:r>
          </w:p>
        </w:tc>
        <w:tc>
          <w:tcPr>
            <w:tcW w:w="22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743D0F1" w14:textId="65B30C28" w:rsidR="00016192" w:rsidRDefault="00016192" w:rsidP="00857ADC">
            <w:pPr>
              <w:widowControl w:val="0"/>
              <w:spacing w:before="240" w:line="276" w:lineRule="auto"/>
              <w:jc w:val="both"/>
              <w:rPr>
                <w:rFonts w:ascii="Cambria" w:eastAsia="Cambria" w:hAnsi="Cambria" w:cs="Cambria"/>
              </w:rPr>
            </w:pPr>
          </w:p>
        </w:tc>
      </w:tr>
      <w:tr w:rsidR="00016192" w14:paraId="04ACEB14" w14:textId="77777777" w:rsidTr="00857ADC">
        <w:trPr>
          <w:trHeight w:val="2985"/>
        </w:trPr>
        <w:tc>
          <w:tcPr>
            <w:tcW w:w="2280" w:type="dxa"/>
            <w:tcBorders>
              <w:top w:val="nil"/>
              <w:left w:val="single" w:sz="6" w:space="0" w:color="000000"/>
              <w:bottom w:val="single" w:sz="6" w:space="0" w:color="000000"/>
              <w:right w:val="single" w:sz="6" w:space="0" w:color="000000"/>
            </w:tcBorders>
          </w:tcPr>
          <w:p w14:paraId="661B9076" w14:textId="77777777" w:rsidR="00016192" w:rsidRDefault="00016192" w:rsidP="00857ADC">
            <w:pPr>
              <w:widowControl w:val="0"/>
              <w:spacing w:after="200" w:line="360" w:lineRule="auto"/>
              <w:rPr>
                <w:rFonts w:ascii="Cambria" w:eastAsia="Cambria" w:hAnsi="Cambria" w:cs="Cambria"/>
              </w:rPr>
            </w:pPr>
            <w:r>
              <w:rPr>
                <w:rFonts w:ascii="Cambria" w:eastAsia="Cambria" w:hAnsi="Cambria" w:cs="Cambria"/>
                <w:noProof/>
              </w:rPr>
              <w:t>cl-001-045-02-2-3309</w:t>
            </w: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81FB2C" w14:textId="77777777" w:rsidR="00016192" w:rsidRDefault="00016192" w:rsidP="00857ADC">
            <w:pPr>
              <w:widowControl w:val="0"/>
              <w:spacing w:after="200" w:line="360" w:lineRule="auto"/>
              <w:jc w:val="both"/>
              <w:rPr>
                <w:rFonts w:ascii="Cambria" w:eastAsia="Cambria" w:hAnsi="Cambria" w:cs="Cambria"/>
              </w:rPr>
            </w:pPr>
            <w:r>
              <w:rPr>
                <w:rFonts w:ascii="Cambria" w:eastAsia="Cambria" w:hAnsi="Cambria" w:cs="Cambria"/>
                <w:noProof/>
                <w:lang w:val="en-US"/>
              </w:rPr>
              <w:drawing>
                <wp:inline distT="114300" distB="114300" distL="114300" distR="114300" wp14:anchorId="4EB18BA4" wp14:editId="0C46E2FB">
                  <wp:extent cx="1314450" cy="16002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14450" cy="1600200"/>
                          </a:xfrm>
                          <a:prstGeom prst="rect">
                            <a:avLst/>
                          </a:prstGeom>
                          <a:ln/>
                        </pic:spPr>
                      </pic:pic>
                    </a:graphicData>
                  </a:graphic>
                </wp:inline>
              </w:drawing>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778DADEF" w14:textId="77777777" w:rsidR="00016192" w:rsidRDefault="00016192" w:rsidP="00857ADC">
            <w:pPr>
              <w:widowControl w:val="0"/>
              <w:spacing w:before="240" w:line="276" w:lineRule="auto"/>
              <w:jc w:val="both"/>
              <w:rPr>
                <w:rFonts w:ascii="Cambria" w:eastAsia="Cambria" w:hAnsi="Cambria" w:cs="Cambria"/>
                <w:color w:val="202124"/>
                <w:highlight w:val="white"/>
              </w:rPr>
            </w:pPr>
            <w:r>
              <w:rPr>
                <w:rFonts w:ascii="Cambria" w:eastAsia="Cambria" w:hAnsi="Cambria" w:cs="Cambria"/>
              </w:rPr>
              <w:t xml:space="preserve">volante de huso con cuerpo macizo y </w:t>
            </w:r>
            <w:r w:rsidRPr="0017362F">
              <w:rPr>
                <w:rFonts w:ascii="Cambria" w:eastAsia="Cambria" w:hAnsi="Cambria" w:cs="Cambria"/>
              </w:rPr>
              <w:t>orificio vertical, para introducir el huso</w:t>
            </w:r>
            <w:r>
              <w:rPr>
                <w:rFonts w:ascii="Cambria" w:eastAsia="Cambria" w:hAnsi="Cambria" w:cs="Cambria"/>
              </w:rPr>
              <w:t>,</w:t>
            </w:r>
            <w:r w:rsidRPr="0017362F">
              <w:rPr>
                <w:rFonts w:ascii="Cambria" w:eastAsia="Cambria" w:hAnsi="Cambria" w:cs="Cambria"/>
              </w:rPr>
              <w:t xml:space="preserve"> el cual es un palo de madera delgado, en el que se envuelve el hilo para hacerlo girar en el hilado</w:t>
            </w:r>
            <w:r w:rsidRPr="0017362F">
              <w:rPr>
                <w:rFonts w:ascii="Cambria" w:eastAsia="Cambria" w:hAnsi="Cambria" w:cs="Cambria"/>
                <w:highlight w:val="white"/>
              </w:rPr>
              <w:t xml:space="preserve">. Diseños lineales y concéntricos </w:t>
            </w:r>
            <w:r w:rsidRPr="0017362F">
              <w:rPr>
                <w:sz w:val="22"/>
                <w:szCs w:val="22"/>
              </w:rPr>
              <w:t>(Olsen, 1990)</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115699B2"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Tiene decoración con incisiones entrelazadas en las dos caras del volante de uso. Además, se detalla un surco que va por medio del cuerpo y lo abarca por completo </w:t>
            </w:r>
            <w:r w:rsidRPr="0017362F">
              <w:rPr>
                <w:sz w:val="22"/>
                <w:szCs w:val="22"/>
              </w:rPr>
              <w:t>(Olsen, 1990)</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4252FC7C" w14:textId="30FA4F23"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Arqueológico </w:t>
            </w:r>
          </w:p>
        </w:tc>
      </w:tr>
      <w:tr w:rsidR="00016192" w14:paraId="58F2D86B" w14:textId="77777777" w:rsidTr="00857ADC">
        <w:trPr>
          <w:trHeight w:val="5655"/>
        </w:trPr>
        <w:tc>
          <w:tcPr>
            <w:tcW w:w="2280" w:type="dxa"/>
            <w:tcBorders>
              <w:top w:val="nil"/>
              <w:left w:val="single" w:sz="6" w:space="0" w:color="000000"/>
              <w:bottom w:val="single" w:sz="6" w:space="0" w:color="000000"/>
              <w:right w:val="single" w:sz="6" w:space="0" w:color="000000"/>
            </w:tcBorders>
          </w:tcPr>
          <w:p w14:paraId="78C3236C" w14:textId="77777777" w:rsidR="00016192" w:rsidRDefault="00016192" w:rsidP="00857ADC">
            <w:pPr>
              <w:widowControl w:val="0"/>
              <w:spacing w:after="200" w:line="360" w:lineRule="auto"/>
              <w:rPr>
                <w:rFonts w:ascii="Cambria" w:eastAsia="Cambria" w:hAnsi="Cambria" w:cs="Cambria"/>
              </w:rPr>
            </w:pPr>
            <w:r>
              <w:t>CL-001-045-05-04-E139</w:t>
            </w: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32D92C" w14:textId="77777777" w:rsidR="00016192" w:rsidRDefault="00016192" w:rsidP="00857ADC">
            <w:pPr>
              <w:widowControl w:val="0"/>
              <w:spacing w:after="200" w:line="360" w:lineRule="auto"/>
              <w:jc w:val="both"/>
              <w:rPr>
                <w:rFonts w:ascii="Cambria" w:eastAsia="Cambria" w:hAnsi="Cambria" w:cs="Cambria"/>
              </w:rPr>
            </w:pPr>
            <w:r>
              <w:rPr>
                <w:rFonts w:ascii="Cambria" w:eastAsia="Cambria" w:hAnsi="Cambria" w:cs="Cambria"/>
                <w:noProof/>
                <w:lang w:val="en-US"/>
              </w:rPr>
              <w:drawing>
                <wp:inline distT="114300" distB="114300" distL="114300" distR="114300" wp14:anchorId="167E724E" wp14:editId="0BF3D9E1">
                  <wp:extent cx="1314450" cy="1549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14450" cy="1549400"/>
                          </a:xfrm>
                          <a:prstGeom prst="rect">
                            <a:avLst/>
                          </a:prstGeom>
                          <a:ln/>
                        </pic:spPr>
                      </pic:pic>
                    </a:graphicData>
                  </a:graphic>
                </wp:inline>
              </w:drawing>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46C25F66"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Cráneo de cérvido tallado y modificado para ser usado como aerófono. En algunas partes del cráneo se utilizó brea para cubrir uno de los orificios para lograr que funcionara (Londoño, 2023)</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29D2B3FB"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Este objeto fue usado por personas de edad mayor, comúnmente. en ceremonias grupales como el </w:t>
            </w:r>
            <w:proofErr w:type="spellStart"/>
            <w:r>
              <w:rPr>
                <w:rFonts w:ascii="Cambria" w:eastAsia="Cambria" w:hAnsi="Cambria" w:cs="Cambria"/>
              </w:rPr>
              <w:t>Yuruparí</w:t>
            </w:r>
            <w:proofErr w:type="spellEnd"/>
            <w:r>
              <w:rPr>
                <w:rFonts w:ascii="Cambria" w:eastAsia="Cambria" w:hAnsi="Cambria" w:cs="Cambria"/>
              </w:rPr>
              <w:t>. (Londoño, 2023)</w:t>
            </w:r>
          </w:p>
          <w:p w14:paraId="134F7B8E" w14:textId="77777777" w:rsidR="00016192" w:rsidRDefault="00016192" w:rsidP="00857ADC">
            <w:pPr>
              <w:widowControl w:val="0"/>
              <w:spacing w:before="240" w:line="276" w:lineRule="auto"/>
              <w:jc w:val="both"/>
              <w:rPr>
                <w:rFonts w:ascii="Cambria" w:eastAsia="Cambria" w:hAnsi="Cambria" w:cs="Cambria"/>
              </w:rPr>
            </w:pPr>
          </w:p>
          <w:p w14:paraId="6B43A21E"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 </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B4B0B08" w14:textId="01A330F0"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Etnográfico</w:t>
            </w:r>
          </w:p>
        </w:tc>
      </w:tr>
      <w:tr w:rsidR="00016192" w14:paraId="440E60C0" w14:textId="77777777" w:rsidTr="00857ADC">
        <w:trPr>
          <w:trHeight w:val="5655"/>
        </w:trPr>
        <w:tc>
          <w:tcPr>
            <w:tcW w:w="2280" w:type="dxa"/>
            <w:tcBorders>
              <w:top w:val="nil"/>
              <w:left w:val="single" w:sz="6" w:space="0" w:color="000000"/>
              <w:bottom w:val="single" w:sz="6" w:space="0" w:color="000000"/>
              <w:right w:val="single" w:sz="6" w:space="0" w:color="000000"/>
            </w:tcBorders>
          </w:tcPr>
          <w:p w14:paraId="776568A5" w14:textId="77777777" w:rsidR="00016192" w:rsidRDefault="00016192" w:rsidP="00857ADC">
            <w:pPr>
              <w:widowControl w:val="0"/>
              <w:spacing w:after="200" w:line="360" w:lineRule="auto"/>
              <w:rPr>
                <w:rFonts w:ascii="Cambria" w:eastAsia="Cambria" w:hAnsi="Cambria" w:cs="Cambria"/>
              </w:rPr>
            </w:pPr>
            <w:r>
              <w:lastRenderedPageBreak/>
              <w:t>CL-001-045-05-04-E140</w:t>
            </w: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6C71BD" w14:textId="77777777" w:rsidR="00016192" w:rsidRDefault="00016192" w:rsidP="00857ADC">
            <w:pPr>
              <w:widowControl w:val="0"/>
              <w:spacing w:after="200" w:line="360" w:lineRule="auto"/>
              <w:jc w:val="both"/>
              <w:rPr>
                <w:rFonts w:ascii="Cambria" w:eastAsia="Cambria" w:hAnsi="Cambria" w:cs="Cambria"/>
              </w:rPr>
            </w:pPr>
            <w:r>
              <w:rPr>
                <w:rFonts w:ascii="Cambria" w:eastAsia="Cambria" w:hAnsi="Cambria" w:cs="Cambria"/>
                <w:noProof/>
                <w:lang w:val="en-US"/>
              </w:rPr>
              <w:drawing>
                <wp:inline distT="114300" distB="114300" distL="114300" distR="114300" wp14:anchorId="24FA416A" wp14:editId="2FAC4D96">
                  <wp:extent cx="1314450" cy="125730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314450" cy="1257300"/>
                          </a:xfrm>
                          <a:prstGeom prst="rect">
                            <a:avLst/>
                          </a:prstGeom>
                          <a:ln/>
                        </pic:spPr>
                      </pic:pic>
                    </a:graphicData>
                  </a:graphic>
                </wp:inline>
              </w:drawing>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43541370"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Cráneo de cérvido tallado y modificado para ser usado como aerófono. En algunas partes del cráneo se utilizó brea para cubrir uno de los orificios para lograr que funcionara como instrumento sonoro (Londoño, 2023)</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0B7A76DF"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Este objeto fue usado por personas de edad mayor, comúnmente. en ceremonias grupales como el </w:t>
            </w:r>
            <w:proofErr w:type="spellStart"/>
            <w:r>
              <w:rPr>
                <w:rFonts w:ascii="Cambria" w:eastAsia="Cambria" w:hAnsi="Cambria" w:cs="Cambria"/>
              </w:rPr>
              <w:t>Yuruparí</w:t>
            </w:r>
            <w:proofErr w:type="spellEnd"/>
            <w:r>
              <w:rPr>
                <w:rFonts w:ascii="Cambria" w:eastAsia="Cambria" w:hAnsi="Cambria" w:cs="Cambria"/>
              </w:rPr>
              <w:t xml:space="preserve">. (Londoño, 2023 </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4CCF3418" w14:textId="2FE5CF6C"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Etnográfico</w:t>
            </w:r>
          </w:p>
        </w:tc>
      </w:tr>
      <w:tr w:rsidR="00016192" w14:paraId="4A2B117E" w14:textId="77777777" w:rsidTr="00857ADC">
        <w:trPr>
          <w:trHeight w:val="3795"/>
        </w:trPr>
        <w:tc>
          <w:tcPr>
            <w:tcW w:w="2280" w:type="dxa"/>
            <w:tcBorders>
              <w:top w:val="nil"/>
              <w:left w:val="single" w:sz="6" w:space="0" w:color="000000"/>
              <w:bottom w:val="single" w:sz="6" w:space="0" w:color="000000"/>
              <w:right w:val="single" w:sz="6" w:space="0" w:color="000000"/>
            </w:tcBorders>
          </w:tcPr>
          <w:p w14:paraId="76A26C08" w14:textId="77777777" w:rsidR="00016192" w:rsidRDefault="00016192" w:rsidP="00857ADC">
            <w:pPr>
              <w:widowControl w:val="0"/>
              <w:spacing w:after="200" w:line="360" w:lineRule="auto"/>
              <w:rPr>
                <w:rFonts w:ascii="Cambria" w:eastAsia="Cambria" w:hAnsi="Cambria" w:cs="Cambria"/>
              </w:rPr>
            </w:pP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0175748" w14:textId="77777777" w:rsidR="00016192" w:rsidRDefault="00016192" w:rsidP="00857ADC">
            <w:pPr>
              <w:widowControl w:val="0"/>
              <w:spacing w:after="200" w:line="360" w:lineRule="auto"/>
              <w:jc w:val="both"/>
              <w:rPr>
                <w:rFonts w:ascii="Cambria" w:eastAsia="Cambria" w:hAnsi="Cambria" w:cs="Cambria"/>
              </w:rPr>
            </w:pPr>
            <w:r>
              <w:rPr>
                <w:rFonts w:ascii="Cambria" w:eastAsia="Cambria" w:hAnsi="Cambria" w:cs="Cambria"/>
                <w:noProof/>
                <w:lang w:val="en-US"/>
              </w:rPr>
              <w:drawing>
                <wp:inline distT="114300" distB="114300" distL="114300" distR="114300" wp14:anchorId="00293150" wp14:editId="475577EB">
                  <wp:extent cx="1314450" cy="147320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314450" cy="1473200"/>
                          </a:xfrm>
                          <a:prstGeom prst="rect">
                            <a:avLst/>
                          </a:prstGeom>
                          <a:ln/>
                        </pic:spPr>
                      </pic:pic>
                    </a:graphicData>
                  </a:graphic>
                </wp:inline>
              </w:drawing>
            </w:r>
          </w:p>
        </w:tc>
        <w:tc>
          <w:tcPr>
            <w:tcW w:w="21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7C400C" w14:textId="77777777" w:rsidR="00016192" w:rsidRDefault="00016192" w:rsidP="00857ADC">
            <w:pPr>
              <w:widowControl w:val="0"/>
              <w:spacing w:line="276" w:lineRule="auto"/>
              <w:jc w:val="both"/>
              <w:rPr>
                <w:rFonts w:ascii="Cambria" w:eastAsia="Cambria" w:hAnsi="Cambria" w:cs="Cambria"/>
              </w:rPr>
            </w:pPr>
            <w:r>
              <w:rPr>
                <w:rFonts w:ascii="Cambria" w:eastAsia="Cambria" w:hAnsi="Cambria" w:cs="Cambria"/>
              </w:rPr>
              <w:t xml:space="preserve">Cántaro zoomorfo y de boca circular. Tiene la forma de un ……, En el rostro de este y en todo el borde como labio tiene incisiones en líneas rectas y en puntos. </w:t>
            </w:r>
            <w:r>
              <w:rPr>
                <w:b/>
                <w:sz w:val="22"/>
                <w:szCs w:val="22"/>
              </w:rPr>
              <w:t xml:space="preserve"> </w:t>
            </w:r>
            <w:r w:rsidRPr="00181670">
              <w:rPr>
                <w:sz w:val="22"/>
                <w:szCs w:val="22"/>
              </w:rPr>
              <w:t>(Olsen, 1990)</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7BB1CC7F"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color w:val="1F1F1F"/>
                <w:highlight w:val="white"/>
              </w:rPr>
              <w:t xml:space="preserve">vasija o recipiente utilizado para </w:t>
            </w:r>
            <w:r>
              <w:rPr>
                <w:rFonts w:ascii="Cambria" w:eastAsia="Cambria" w:hAnsi="Cambria" w:cs="Cambria"/>
                <w:color w:val="040C28"/>
                <w:highlight w:val="white"/>
              </w:rPr>
              <w:t>guardar, conservar y transportar líquidos</w:t>
            </w:r>
            <w:r>
              <w:rPr>
                <w:rFonts w:ascii="Cambria" w:eastAsia="Cambria" w:hAnsi="Cambria" w:cs="Cambria"/>
                <w:color w:val="1F1F1F"/>
                <w:highlight w:val="white"/>
              </w:rPr>
              <w:t xml:space="preserve">. Similar a una jarra, pero más grande, no tiene ninguna asa. Utilizada por los habitantes del Cauca medio. </w:t>
            </w:r>
            <w:r w:rsidRPr="00181670">
              <w:rPr>
                <w:sz w:val="22"/>
                <w:szCs w:val="22"/>
              </w:rPr>
              <w:t>Olsen, 1990)</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6EFF108E" w14:textId="134C8631"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Arqueológico </w:t>
            </w:r>
          </w:p>
        </w:tc>
      </w:tr>
      <w:tr w:rsidR="00016192" w14:paraId="62022853" w14:textId="77777777" w:rsidTr="00857ADC">
        <w:trPr>
          <w:trHeight w:val="3255"/>
        </w:trPr>
        <w:tc>
          <w:tcPr>
            <w:tcW w:w="2280" w:type="dxa"/>
            <w:tcBorders>
              <w:top w:val="nil"/>
              <w:left w:val="single" w:sz="6" w:space="0" w:color="000000"/>
              <w:bottom w:val="single" w:sz="6" w:space="0" w:color="000000"/>
              <w:right w:val="single" w:sz="6" w:space="0" w:color="000000"/>
            </w:tcBorders>
          </w:tcPr>
          <w:p w14:paraId="714AFCFE" w14:textId="77777777" w:rsidR="00016192" w:rsidRDefault="00016192" w:rsidP="00857ADC">
            <w:pPr>
              <w:widowControl w:val="0"/>
              <w:spacing w:after="200" w:line="360" w:lineRule="auto"/>
              <w:rPr>
                <w:rFonts w:ascii="Cambria" w:eastAsia="Cambria" w:hAnsi="Cambria" w:cs="Cambria"/>
              </w:rPr>
            </w:pPr>
            <w:r>
              <w:rPr>
                <w:rFonts w:ascii="Cambria" w:eastAsia="Cambria" w:hAnsi="Cambria" w:cs="Cambria"/>
                <w:noProof/>
              </w:rPr>
              <w:lastRenderedPageBreak/>
              <w:t>E/R29/216cm/2652</w:t>
            </w: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D87D87" w14:textId="77777777" w:rsidR="00016192" w:rsidRDefault="00016192" w:rsidP="00857ADC">
            <w:pPr>
              <w:widowControl w:val="0"/>
              <w:spacing w:after="200" w:line="360" w:lineRule="auto"/>
              <w:jc w:val="both"/>
              <w:rPr>
                <w:rFonts w:ascii="Cambria" w:eastAsia="Cambria" w:hAnsi="Cambria" w:cs="Cambria"/>
              </w:rPr>
            </w:pPr>
            <w:r>
              <w:rPr>
                <w:rFonts w:ascii="Cambria" w:eastAsia="Cambria" w:hAnsi="Cambria" w:cs="Cambria"/>
                <w:noProof/>
                <w:lang w:val="en-US"/>
              </w:rPr>
              <w:drawing>
                <wp:inline distT="114300" distB="114300" distL="114300" distR="114300" wp14:anchorId="34E65282" wp14:editId="02F808D1">
                  <wp:extent cx="1314450" cy="850900"/>
                  <wp:effectExtent l="0" t="0" r="0" b="0"/>
                  <wp:docPr id="3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1314450" cy="850900"/>
                          </a:xfrm>
                          <a:prstGeom prst="rect">
                            <a:avLst/>
                          </a:prstGeom>
                          <a:ln/>
                        </pic:spPr>
                      </pic:pic>
                    </a:graphicData>
                  </a:graphic>
                </wp:inline>
              </w:drawing>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60549B8D"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Copa de boca romboidal, tiene apliques de líneas y puntos en los 4 extremos, con base cóncava. Presenta motivos en pintura blanca sobre naranja (</w:t>
            </w:r>
            <w:r w:rsidRPr="00181670">
              <w:rPr>
                <w:sz w:val="22"/>
                <w:szCs w:val="22"/>
              </w:rPr>
              <w:t>Olsen, 1990)</w:t>
            </w:r>
            <w:r>
              <w:rPr>
                <w:sz w:val="22"/>
                <w:szCs w:val="22"/>
              </w:rPr>
              <w:t>.</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28E06590"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cerámica perteneciente al Cauca medio. Se encontró en estructuras funerarias, asociada a grupos </w:t>
            </w:r>
            <w:proofErr w:type="spellStart"/>
            <w:r>
              <w:rPr>
                <w:rFonts w:ascii="Cambria" w:eastAsia="Cambria" w:hAnsi="Cambria" w:cs="Cambria"/>
              </w:rPr>
              <w:t>agroalfareros</w:t>
            </w:r>
            <w:proofErr w:type="spellEnd"/>
            <w:r>
              <w:rPr>
                <w:rFonts w:ascii="Cambria" w:eastAsia="Cambria" w:hAnsi="Cambria" w:cs="Cambria"/>
              </w:rPr>
              <w:t xml:space="preserve"> t tardío. (Herrera et al, 2017)</w:t>
            </w:r>
          </w:p>
          <w:p w14:paraId="43A50A06" w14:textId="77777777" w:rsidR="00016192" w:rsidRDefault="00016192" w:rsidP="00857ADC">
            <w:pPr>
              <w:widowControl w:val="0"/>
              <w:spacing w:before="240" w:line="276" w:lineRule="auto"/>
              <w:jc w:val="both"/>
              <w:rPr>
                <w:rFonts w:ascii="Cambria" w:eastAsia="Cambria" w:hAnsi="Cambria" w:cs="Cambria"/>
              </w:rPr>
            </w:pP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2D7E5150" w14:textId="581EE0FA"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Arqueología</w:t>
            </w:r>
          </w:p>
        </w:tc>
      </w:tr>
      <w:tr w:rsidR="00016192" w14:paraId="230B74BB" w14:textId="77777777" w:rsidTr="00857ADC">
        <w:trPr>
          <w:trHeight w:val="3255"/>
        </w:trPr>
        <w:tc>
          <w:tcPr>
            <w:tcW w:w="2280" w:type="dxa"/>
            <w:tcBorders>
              <w:top w:val="nil"/>
              <w:left w:val="single" w:sz="6" w:space="0" w:color="000000"/>
              <w:bottom w:val="single" w:sz="6" w:space="0" w:color="000000"/>
              <w:right w:val="single" w:sz="6" w:space="0" w:color="000000"/>
            </w:tcBorders>
          </w:tcPr>
          <w:p w14:paraId="07D1F62F" w14:textId="77777777" w:rsidR="00016192" w:rsidRDefault="00016192" w:rsidP="00857ADC">
            <w:pPr>
              <w:widowControl w:val="0"/>
              <w:spacing w:after="200" w:line="360" w:lineRule="auto"/>
              <w:rPr>
                <w:rFonts w:ascii="Cambria" w:eastAsia="Cambria" w:hAnsi="Cambria" w:cs="Cambria"/>
              </w:rPr>
            </w:pPr>
            <w:r>
              <w:rPr>
                <w:rFonts w:ascii="Cambria" w:eastAsia="Cambria" w:hAnsi="Cambria" w:cs="Cambria"/>
                <w:noProof/>
              </w:rPr>
              <w:t>E/R29/209cm/3904</w:t>
            </w: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CDE307C" w14:textId="77777777" w:rsidR="00016192" w:rsidRDefault="00016192" w:rsidP="00857ADC">
            <w:pPr>
              <w:widowControl w:val="0"/>
              <w:spacing w:after="200" w:line="360" w:lineRule="auto"/>
              <w:jc w:val="both"/>
              <w:rPr>
                <w:rFonts w:ascii="Cambria" w:eastAsia="Cambria" w:hAnsi="Cambria" w:cs="Cambria"/>
              </w:rPr>
            </w:pPr>
            <w:r>
              <w:rPr>
                <w:rFonts w:ascii="Cambria" w:eastAsia="Cambria" w:hAnsi="Cambria" w:cs="Cambria"/>
                <w:noProof/>
                <w:lang w:val="en-US"/>
              </w:rPr>
              <w:drawing>
                <wp:inline distT="114300" distB="114300" distL="114300" distR="114300" wp14:anchorId="0076E743" wp14:editId="6C92A4B2">
                  <wp:extent cx="1314450" cy="787400"/>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314450" cy="787400"/>
                          </a:xfrm>
                          <a:prstGeom prst="rect">
                            <a:avLst/>
                          </a:prstGeom>
                          <a:ln/>
                        </pic:spPr>
                      </pic:pic>
                    </a:graphicData>
                  </a:graphic>
                </wp:inline>
              </w:drawing>
            </w:r>
          </w:p>
        </w:tc>
        <w:tc>
          <w:tcPr>
            <w:tcW w:w="21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2F6BC7F" w14:textId="77777777" w:rsidR="00016192" w:rsidRPr="00181670"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Cuenco con boca romboidal con una base en anillo, tiene apliques en el borde y en los extremos. Su decoración es de color naranja y presenta marcas de </w:t>
            </w:r>
            <w:proofErr w:type="gramStart"/>
            <w:r>
              <w:rPr>
                <w:rFonts w:ascii="Cambria" w:eastAsia="Cambria" w:hAnsi="Cambria" w:cs="Cambria"/>
              </w:rPr>
              <w:t xml:space="preserve">hollín </w:t>
            </w:r>
            <w:r>
              <w:rPr>
                <w:b/>
                <w:sz w:val="22"/>
                <w:szCs w:val="22"/>
              </w:rPr>
              <w:t xml:space="preserve"> </w:t>
            </w:r>
            <w:r>
              <w:rPr>
                <w:sz w:val="22"/>
                <w:szCs w:val="22"/>
              </w:rPr>
              <w:t>(</w:t>
            </w:r>
            <w:proofErr w:type="gramEnd"/>
            <w:r>
              <w:rPr>
                <w:sz w:val="22"/>
                <w:szCs w:val="22"/>
              </w:rPr>
              <w:t>Olsen, 1990)</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1EAA1780"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cerámica perteneciente al Cauca medio. Se encontró en estructuras funerarias, asociada a grupos </w:t>
            </w:r>
            <w:proofErr w:type="spellStart"/>
            <w:r>
              <w:rPr>
                <w:rFonts w:ascii="Cambria" w:eastAsia="Cambria" w:hAnsi="Cambria" w:cs="Cambria"/>
              </w:rPr>
              <w:t>agroalfareros</w:t>
            </w:r>
            <w:proofErr w:type="spellEnd"/>
            <w:r>
              <w:rPr>
                <w:rFonts w:ascii="Cambria" w:eastAsia="Cambria" w:hAnsi="Cambria" w:cs="Cambria"/>
              </w:rPr>
              <w:t xml:space="preserve"> t tardío. (Herrera et al, 2017)</w:t>
            </w:r>
          </w:p>
          <w:p w14:paraId="7E544849" w14:textId="77777777" w:rsidR="00016192" w:rsidRDefault="00016192" w:rsidP="00857ADC">
            <w:pPr>
              <w:widowControl w:val="0"/>
              <w:spacing w:before="240" w:line="276" w:lineRule="auto"/>
              <w:jc w:val="both"/>
              <w:rPr>
                <w:rFonts w:ascii="Cambria" w:eastAsia="Cambria" w:hAnsi="Cambria" w:cs="Cambria"/>
              </w:rPr>
            </w:pP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0E8A7E18" w14:textId="4AC96990"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Arqueológico</w:t>
            </w:r>
          </w:p>
          <w:p w14:paraId="026620F8" w14:textId="62AC1A0C" w:rsidR="00016192" w:rsidRDefault="00016192" w:rsidP="00857ADC">
            <w:pPr>
              <w:widowControl w:val="0"/>
              <w:spacing w:before="240" w:line="276" w:lineRule="auto"/>
              <w:jc w:val="both"/>
              <w:rPr>
                <w:rFonts w:ascii="Cambria" w:eastAsia="Cambria" w:hAnsi="Cambria" w:cs="Cambria"/>
              </w:rPr>
            </w:pPr>
          </w:p>
        </w:tc>
      </w:tr>
      <w:tr w:rsidR="00016192" w14:paraId="2A0A0FBC" w14:textId="77777777" w:rsidTr="00857ADC">
        <w:trPr>
          <w:trHeight w:val="3525"/>
        </w:trPr>
        <w:tc>
          <w:tcPr>
            <w:tcW w:w="2280" w:type="dxa"/>
            <w:tcBorders>
              <w:top w:val="nil"/>
              <w:left w:val="single" w:sz="6" w:space="0" w:color="000000"/>
              <w:bottom w:val="single" w:sz="6" w:space="0" w:color="000000"/>
              <w:right w:val="single" w:sz="6" w:space="0" w:color="000000"/>
            </w:tcBorders>
          </w:tcPr>
          <w:p w14:paraId="0989EAFA" w14:textId="77777777" w:rsidR="00016192" w:rsidRDefault="00016192" w:rsidP="00857ADC">
            <w:pPr>
              <w:widowControl w:val="0"/>
              <w:spacing w:after="200" w:line="360" w:lineRule="auto"/>
              <w:rPr>
                <w:rFonts w:ascii="Cambria" w:eastAsia="Cambria" w:hAnsi="Cambria" w:cs="Cambria"/>
              </w:rPr>
            </w:pPr>
            <w:r>
              <w:rPr>
                <w:rFonts w:ascii="Cambria" w:eastAsia="Cambria" w:hAnsi="Cambria" w:cs="Cambria"/>
                <w:noProof/>
              </w:rPr>
              <w:t>E/R28/248cm/2627</w:t>
            </w: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08366A" w14:textId="77777777" w:rsidR="00016192" w:rsidRDefault="00016192" w:rsidP="00857ADC">
            <w:pPr>
              <w:widowControl w:val="0"/>
              <w:spacing w:after="200" w:line="360" w:lineRule="auto"/>
              <w:jc w:val="both"/>
              <w:rPr>
                <w:rFonts w:ascii="Cambria" w:eastAsia="Cambria" w:hAnsi="Cambria" w:cs="Cambria"/>
              </w:rPr>
            </w:pPr>
            <w:r>
              <w:rPr>
                <w:rFonts w:ascii="Cambria" w:eastAsia="Cambria" w:hAnsi="Cambria" w:cs="Cambria"/>
                <w:noProof/>
                <w:lang w:val="en-US"/>
              </w:rPr>
              <w:drawing>
                <wp:inline distT="114300" distB="114300" distL="114300" distR="114300" wp14:anchorId="50C529B5" wp14:editId="36DDE4E3">
                  <wp:extent cx="1314450" cy="1155700"/>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314450" cy="1155700"/>
                          </a:xfrm>
                          <a:prstGeom prst="rect">
                            <a:avLst/>
                          </a:prstGeom>
                          <a:ln/>
                        </pic:spPr>
                      </pic:pic>
                    </a:graphicData>
                  </a:graphic>
                </wp:inline>
              </w:drawing>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551C3FD2"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Copa con boca circular, presenta motivos en pintura negra sobre naranja (Olsen, 1990)</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37C947C9"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cerámica perteneciente al Cauca medio. Se encontró en estructuras funerarias, asociada a grupos </w:t>
            </w:r>
            <w:proofErr w:type="spellStart"/>
            <w:r>
              <w:rPr>
                <w:rFonts w:ascii="Cambria" w:eastAsia="Cambria" w:hAnsi="Cambria" w:cs="Cambria"/>
              </w:rPr>
              <w:t>agroalfareros</w:t>
            </w:r>
            <w:proofErr w:type="spellEnd"/>
            <w:r>
              <w:rPr>
                <w:rFonts w:ascii="Cambria" w:eastAsia="Cambria" w:hAnsi="Cambria" w:cs="Cambria"/>
              </w:rPr>
              <w:t xml:space="preserve"> t tardío. (Herrera et al, 2017)</w:t>
            </w:r>
          </w:p>
          <w:p w14:paraId="3FD3C475" w14:textId="77777777" w:rsidR="00016192" w:rsidRDefault="00016192" w:rsidP="00857ADC">
            <w:pPr>
              <w:widowControl w:val="0"/>
              <w:spacing w:before="240" w:line="276" w:lineRule="auto"/>
              <w:jc w:val="both"/>
              <w:rPr>
                <w:rFonts w:ascii="Cambria" w:eastAsia="Cambria" w:hAnsi="Cambria" w:cs="Cambria"/>
              </w:rPr>
            </w:pP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3A249F8F" w14:textId="0991BAAD"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Arqueológico</w:t>
            </w:r>
          </w:p>
        </w:tc>
      </w:tr>
      <w:tr w:rsidR="00016192" w14:paraId="7F21FAF9" w14:textId="77777777" w:rsidTr="00857ADC">
        <w:trPr>
          <w:trHeight w:val="3525"/>
        </w:trPr>
        <w:tc>
          <w:tcPr>
            <w:tcW w:w="2280" w:type="dxa"/>
            <w:tcBorders>
              <w:top w:val="nil"/>
              <w:left w:val="single" w:sz="6" w:space="0" w:color="000000"/>
              <w:bottom w:val="single" w:sz="6" w:space="0" w:color="000000"/>
              <w:right w:val="single" w:sz="6" w:space="0" w:color="000000"/>
            </w:tcBorders>
          </w:tcPr>
          <w:p w14:paraId="5F0A7084" w14:textId="77777777" w:rsidR="00016192" w:rsidRDefault="00016192" w:rsidP="00857ADC">
            <w:pPr>
              <w:widowControl w:val="0"/>
              <w:spacing w:after="200" w:line="360" w:lineRule="auto"/>
              <w:rPr>
                <w:rFonts w:ascii="Cambria" w:eastAsia="Cambria" w:hAnsi="Cambria" w:cs="Cambria"/>
              </w:rPr>
            </w:pPr>
            <w:r>
              <w:rPr>
                <w:rFonts w:ascii="Cambria" w:eastAsia="Cambria" w:hAnsi="Cambria" w:cs="Cambria"/>
                <w:noProof/>
              </w:rPr>
              <w:lastRenderedPageBreak/>
              <w:t>Cl/001-043-02-2-4983</w:t>
            </w: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8B7443" w14:textId="77777777" w:rsidR="00016192" w:rsidRDefault="00016192" w:rsidP="00857ADC">
            <w:pPr>
              <w:widowControl w:val="0"/>
              <w:spacing w:after="200" w:line="360" w:lineRule="auto"/>
              <w:jc w:val="both"/>
              <w:rPr>
                <w:rFonts w:ascii="Cambria" w:eastAsia="Cambria" w:hAnsi="Cambria" w:cs="Cambria"/>
              </w:rPr>
            </w:pPr>
            <w:r>
              <w:rPr>
                <w:rFonts w:ascii="Cambria" w:eastAsia="Cambria" w:hAnsi="Cambria" w:cs="Cambria"/>
                <w:noProof/>
                <w:lang w:val="en-US"/>
              </w:rPr>
              <w:drawing>
                <wp:inline distT="114300" distB="114300" distL="114300" distR="114300" wp14:anchorId="79A2B406" wp14:editId="71E14908">
                  <wp:extent cx="1314450" cy="1016000"/>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1314450" cy="1016000"/>
                          </a:xfrm>
                          <a:prstGeom prst="rect">
                            <a:avLst/>
                          </a:prstGeom>
                          <a:ln/>
                        </pic:spPr>
                      </pic:pic>
                    </a:graphicData>
                  </a:graphic>
                </wp:inline>
              </w:drawing>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36F7EEEE"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Cuenco con forma semicircular, decoración en el labio con incisiones en puntos y líneas, es color crema y presencia marcas de hollín (Olsen, 1990)</w:t>
            </w:r>
          </w:p>
          <w:p w14:paraId="6095E9F7" w14:textId="77777777" w:rsidR="00016192" w:rsidRDefault="00016192" w:rsidP="00857ADC">
            <w:pPr>
              <w:widowControl w:val="0"/>
              <w:spacing w:before="240" w:line="276" w:lineRule="auto"/>
              <w:jc w:val="both"/>
              <w:rPr>
                <w:rFonts w:ascii="Cambria" w:eastAsia="Cambria" w:hAnsi="Cambria" w:cs="Cambria"/>
              </w:rPr>
            </w:pP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723D89D6"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cerámica que por sus características decorativas se asocia al tipo cerámico el oro, que comprende el 2000 antes de cristo (castaño 1985)</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3DDDC02B" w14:textId="4CC72353"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Arqueológico</w:t>
            </w:r>
          </w:p>
        </w:tc>
      </w:tr>
      <w:tr w:rsidR="00016192" w14:paraId="03309388" w14:textId="77777777" w:rsidTr="00857ADC">
        <w:trPr>
          <w:trHeight w:val="285"/>
        </w:trPr>
        <w:tc>
          <w:tcPr>
            <w:tcW w:w="2280" w:type="dxa"/>
            <w:tcBorders>
              <w:top w:val="nil"/>
              <w:left w:val="single" w:sz="6" w:space="0" w:color="000000"/>
              <w:bottom w:val="single" w:sz="6" w:space="0" w:color="000000"/>
              <w:right w:val="single" w:sz="6" w:space="0" w:color="000000"/>
            </w:tcBorders>
          </w:tcPr>
          <w:p w14:paraId="55A61BFD" w14:textId="77777777" w:rsidR="00016192" w:rsidRDefault="00016192" w:rsidP="00857ADC">
            <w:pPr>
              <w:widowControl w:val="0"/>
              <w:spacing w:before="240" w:line="276" w:lineRule="auto"/>
              <w:rPr>
                <w:rFonts w:ascii="Cambria" w:eastAsia="Cambria" w:hAnsi="Cambria" w:cs="Cambria"/>
              </w:rPr>
            </w:pP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08CAAB9"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 </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0F7E780A"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 </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01CFE2A4"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 </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1F365A3D"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 </w:t>
            </w:r>
          </w:p>
        </w:tc>
      </w:tr>
      <w:tr w:rsidR="00016192" w14:paraId="00802253" w14:textId="77777777" w:rsidTr="00857ADC">
        <w:trPr>
          <w:trHeight w:val="285"/>
        </w:trPr>
        <w:tc>
          <w:tcPr>
            <w:tcW w:w="2280" w:type="dxa"/>
            <w:tcBorders>
              <w:top w:val="nil"/>
              <w:left w:val="single" w:sz="6" w:space="0" w:color="000000"/>
              <w:bottom w:val="single" w:sz="6" w:space="0" w:color="000000"/>
              <w:right w:val="single" w:sz="6" w:space="0" w:color="000000"/>
            </w:tcBorders>
          </w:tcPr>
          <w:p w14:paraId="799889D1" w14:textId="77777777" w:rsidR="00016192" w:rsidRDefault="00016192" w:rsidP="00857ADC">
            <w:pPr>
              <w:widowControl w:val="0"/>
              <w:spacing w:before="240" w:line="276" w:lineRule="auto"/>
              <w:rPr>
                <w:rFonts w:ascii="Cambria" w:eastAsia="Cambria" w:hAnsi="Cambria" w:cs="Cambria"/>
              </w:rPr>
            </w:pPr>
          </w:p>
        </w:tc>
        <w:tc>
          <w:tcPr>
            <w:tcW w:w="22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EC06B8"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 </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58CAB20F"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 </w:t>
            </w:r>
          </w:p>
        </w:tc>
        <w:tc>
          <w:tcPr>
            <w:tcW w:w="2175" w:type="dxa"/>
            <w:tcBorders>
              <w:top w:val="nil"/>
              <w:left w:val="nil"/>
              <w:bottom w:val="single" w:sz="6" w:space="0" w:color="000000"/>
              <w:right w:val="single" w:sz="6" w:space="0" w:color="000000"/>
            </w:tcBorders>
            <w:tcMar>
              <w:top w:w="0" w:type="dxa"/>
              <w:left w:w="100" w:type="dxa"/>
              <w:bottom w:w="0" w:type="dxa"/>
              <w:right w:w="100" w:type="dxa"/>
            </w:tcMar>
          </w:tcPr>
          <w:p w14:paraId="731DD4F8"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 </w:t>
            </w:r>
          </w:p>
        </w:tc>
        <w:tc>
          <w:tcPr>
            <w:tcW w:w="2220" w:type="dxa"/>
            <w:tcBorders>
              <w:top w:val="nil"/>
              <w:left w:val="nil"/>
              <w:bottom w:val="single" w:sz="6" w:space="0" w:color="000000"/>
              <w:right w:val="single" w:sz="6" w:space="0" w:color="000000"/>
            </w:tcBorders>
            <w:tcMar>
              <w:top w:w="0" w:type="dxa"/>
              <w:left w:w="100" w:type="dxa"/>
              <w:bottom w:w="0" w:type="dxa"/>
              <w:right w:w="100" w:type="dxa"/>
            </w:tcMar>
          </w:tcPr>
          <w:p w14:paraId="5A802108" w14:textId="77777777" w:rsidR="00016192" w:rsidRDefault="00016192" w:rsidP="00857ADC">
            <w:pPr>
              <w:widowControl w:val="0"/>
              <w:spacing w:before="240" w:line="276" w:lineRule="auto"/>
              <w:jc w:val="both"/>
              <w:rPr>
                <w:rFonts w:ascii="Cambria" w:eastAsia="Cambria" w:hAnsi="Cambria" w:cs="Cambria"/>
              </w:rPr>
            </w:pPr>
            <w:r>
              <w:rPr>
                <w:rFonts w:ascii="Cambria" w:eastAsia="Cambria" w:hAnsi="Cambria" w:cs="Cambria"/>
              </w:rPr>
              <w:t xml:space="preserve"> </w:t>
            </w:r>
          </w:p>
        </w:tc>
      </w:tr>
    </w:tbl>
    <w:p w14:paraId="2A50E4CD" w14:textId="77777777" w:rsidR="00F6629E" w:rsidRDefault="00F6629E"/>
    <w:p w14:paraId="4633D95D" w14:textId="77777777" w:rsidR="00016192" w:rsidRDefault="00016192"/>
    <w:p w14:paraId="159F4F54" w14:textId="77777777" w:rsidR="00016192" w:rsidRPr="00553C70" w:rsidRDefault="00016192" w:rsidP="00016192">
      <w:pPr>
        <w:spacing w:line="360" w:lineRule="auto"/>
        <w:jc w:val="both"/>
        <w:rPr>
          <w:rFonts w:eastAsia="Cambria" w:cstheme="minorHAnsi"/>
          <w:noProof/>
        </w:rPr>
      </w:pPr>
      <w:r w:rsidRPr="00F534B8">
        <w:rPr>
          <w:rFonts w:cstheme="minorHAnsi"/>
        </w:rPr>
        <w:t xml:space="preserve">Las piezas de cerámica de E/R29/216cm/2652, E/R29/209cm/3904 y E/R28/248cm/2627 son resultados del proyecto de investigación del plan de manejo arqueológico llamado "Monitoreo y rescate arqueológico en la Variante La Paz, predios El Edén, La Guaca, Jamaica y La Libia, municipio de Chinchiná, departamento de Caldas, Ecorregión Eje Cafetero". El objetivo de este proyecto es desarrollar actividades y métodos que permitan un registro completo de la evidencia arqueológica para identificar e interpretar el uso que los antiguos pobladores prehispánicos le dieron al espacio en el que </w:t>
      </w:r>
      <w:proofErr w:type="spellStart"/>
      <w:r w:rsidRPr="00F534B8">
        <w:rPr>
          <w:rFonts w:cstheme="minorHAnsi"/>
        </w:rPr>
        <w:t>vivian</w:t>
      </w:r>
      <w:proofErr w:type="spellEnd"/>
      <w:r w:rsidRPr="00F534B8">
        <w:rPr>
          <w:rFonts w:cstheme="minorHAnsi"/>
        </w:rPr>
        <w:t xml:space="preserve">. </w:t>
      </w:r>
      <w:r w:rsidRPr="00553C70">
        <w:rPr>
          <w:rFonts w:cstheme="minorHAnsi"/>
        </w:rPr>
        <w:t>(</w:t>
      </w:r>
      <w:r w:rsidRPr="00553C70">
        <w:rPr>
          <w:rFonts w:cstheme="minorHAnsi"/>
          <w:noProof/>
        </w:rPr>
        <w:t>AEROCAFE 2018 PAG 1)</w:t>
      </w:r>
    </w:p>
    <w:p w14:paraId="1BB31918" w14:textId="77777777" w:rsidR="00016192" w:rsidRDefault="00016192" w:rsidP="00016192">
      <w:pPr>
        <w:spacing w:line="360" w:lineRule="auto"/>
        <w:jc w:val="both"/>
        <w:rPr>
          <w:rFonts w:cstheme="minorHAnsi"/>
          <w:noProof/>
        </w:rPr>
      </w:pPr>
      <w:r w:rsidRPr="00F534B8">
        <w:rPr>
          <w:rFonts w:cstheme="minorHAnsi"/>
          <w:noProof/>
        </w:rPr>
        <w:t xml:space="preserve">Los objetos que seleccionaron se encuentran en el terreno Edén, que se encuentra en la cima de terrazas aluviales en medio de zonas montañosas con pendientes altas. Debido a su alta fertilidad, estas áreas suelen mostrar indicios de ocupación humana prehispánica.  </w:t>
      </w:r>
      <w:r w:rsidRPr="00553C70">
        <w:rPr>
          <w:rFonts w:cstheme="minorHAnsi"/>
        </w:rPr>
        <w:t>(</w:t>
      </w:r>
      <w:r w:rsidRPr="00553C70">
        <w:rPr>
          <w:rFonts w:cstheme="minorHAnsi"/>
          <w:noProof/>
        </w:rPr>
        <w:t>AEROCAFE 2018 PAG 1)</w:t>
      </w:r>
      <w:r w:rsidRPr="00F534B8">
        <w:rPr>
          <w:rFonts w:cstheme="minorHAnsi"/>
          <w:noProof/>
        </w:rPr>
        <w:t xml:space="preserve">. En el proceso de excavación de una estructura funeraria de pozo con cámara frontal a una profundidad de 2m a 2:30 m, se encontró la cerámica que se leccionó en los Rasgos 28 y 29, y se determinó una fecha de 550 +/-30 BP (Beta 465521), lo que indica una época </w:t>
      </w:r>
      <w:proofErr w:type="gramStart"/>
      <w:r w:rsidRPr="00F534B8">
        <w:rPr>
          <w:rFonts w:cstheme="minorHAnsi"/>
          <w:noProof/>
        </w:rPr>
        <w:t>tardía</w:t>
      </w:r>
      <w:r>
        <w:rPr>
          <w:rFonts w:cstheme="minorHAnsi"/>
          <w:noProof/>
        </w:rPr>
        <w:t>.</w:t>
      </w:r>
      <w:r w:rsidRPr="00553C70">
        <w:rPr>
          <w:rFonts w:cstheme="minorHAnsi"/>
        </w:rPr>
        <w:t>(</w:t>
      </w:r>
      <w:proofErr w:type="gramEnd"/>
      <w:r w:rsidRPr="00553C70">
        <w:rPr>
          <w:rFonts w:cstheme="minorHAnsi"/>
          <w:noProof/>
        </w:rPr>
        <w:t>AEROCAFE 2018 PAG 203)</w:t>
      </w:r>
    </w:p>
    <w:p w14:paraId="40D65D73" w14:textId="77777777" w:rsidR="00016192" w:rsidRPr="00553C70" w:rsidRDefault="00016192" w:rsidP="00016192">
      <w:pPr>
        <w:spacing w:line="360" w:lineRule="auto"/>
        <w:jc w:val="both"/>
        <w:rPr>
          <w:rFonts w:cstheme="minorHAnsi"/>
        </w:rPr>
      </w:pPr>
    </w:p>
    <w:p w14:paraId="7ACBD34D" w14:textId="77777777" w:rsidR="00016192" w:rsidRPr="00553C70" w:rsidRDefault="00016192" w:rsidP="00016192">
      <w:pPr>
        <w:spacing w:line="360" w:lineRule="auto"/>
        <w:jc w:val="both"/>
        <w:rPr>
          <w:rFonts w:cstheme="minorHAnsi"/>
        </w:rPr>
      </w:pPr>
    </w:p>
    <w:p w14:paraId="78761898" w14:textId="77777777" w:rsidR="00016192" w:rsidRPr="00553C70" w:rsidRDefault="00016192" w:rsidP="00016192">
      <w:pPr>
        <w:spacing w:line="360" w:lineRule="auto"/>
        <w:jc w:val="both"/>
        <w:rPr>
          <w:rFonts w:cstheme="minorHAnsi"/>
        </w:rPr>
      </w:pPr>
      <w:r w:rsidRPr="00553C70">
        <w:rPr>
          <w:rFonts w:cstheme="minorHAnsi"/>
        </w:rPr>
        <w:lastRenderedPageBreak/>
        <w:t xml:space="preserve">colección etnográfica </w:t>
      </w:r>
      <w:proofErr w:type="spellStart"/>
      <w:r w:rsidRPr="00553C70">
        <w:rPr>
          <w:rFonts w:cstheme="minorHAnsi"/>
        </w:rPr>
        <w:t>pag</w:t>
      </w:r>
      <w:proofErr w:type="spellEnd"/>
      <w:r w:rsidRPr="00553C70">
        <w:rPr>
          <w:rFonts w:cstheme="minorHAnsi"/>
        </w:rPr>
        <w:t xml:space="preserve"> 10 </w:t>
      </w:r>
    </w:p>
    <w:p w14:paraId="659A8783" w14:textId="77777777" w:rsidR="00016192" w:rsidRPr="00553C70" w:rsidRDefault="00016192" w:rsidP="00016192">
      <w:pPr>
        <w:spacing w:line="360" w:lineRule="auto"/>
        <w:jc w:val="both"/>
        <w:rPr>
          <w:rFonts w:cstheme="minorHAnsi"/>
        </w:rPr>
      </w:pPr>
      <w:r w:rsidRPr="00F534B8">
        <w:rPr>
          <w:rFonts w:cstheme="minorHAnsi"/>
        </w:rPr>
        <w:t xml:space="preserve">Los ítems CL-001-045-05-04-E139 y CL-001-045-05-04-E140 pertenecen a la colección etnográfica del centro de museo.  Desde 1992, el museo de la Universidad de Caldas ha recibido tres donaciones de estas piezas de la colección etnográfica. La primera fue creada por Roberto Restrepo Ramírez, un antropólogo que realizó investigaciones en la zona del Vaupés, donde </w:t>
      </w:r>
      <w:proofErr w:type="spellStart"/>
      <w:r w:rsidRPr="00F534B8">
        <w:rPr>
          <w:rFonts w:cstheme="minorHAnsi"/>
        </w:rPr>
        <w:t>adquirio</w:t>
      </w:r>
      <w:proofErr w:type="spellEnd"/>
      <w:r w:rsidRPr="00F534B8">
        <w:rPr>
          <w:rFonts w:cstheme="minorHAnsi"/>
        </w:rPr>
        <w:t> varios objetos que luego entregué al museo en la década de los 90. En 2022, la Sra. Sabina hizo otra donación etnográfica al museo. Estos objetos le fueron dados como resultado de sus exploraciones desde Colombia hasta Brasil, donde se establecieron contactos con las comunidades de</w:t>
      </w:r>
      <w:r>
        <w:rPr>
          <w:rFonts w:cstheme="minorHAnsi"/>
        </w:rPr>
        <w:t xml:space="preserve"> </w:t>
      </w:r>
      <w:r w:rsidRPr="00553C70">
        <w:rPr>
          <w:rFonts w:cstheme="minorHAnsi"/>
        </w:rPr>
        <w:t xml:space="preserve">Chingues y </w:t>
      </w:r>
      <w:proofErr w:type="spellStart"/>
      <w:r w:rsidRPr="00553C70">
        <w:rPr>
          <w:rFonts w:cstheme="minorHAnsi"/>
        </w:rPr>
        <w:t>Tapacoas</w:t>
      </w:r>
      <w:proofErr w:type="spellEnd"/>
      <w:r w:rsidRPr="00553C70">
        <w:rPr>
          <w:rFonts w:cstheme="minorHAnsi"/>
        </w:rPr>
        <w:t>.</w:t>
      </w:r>
      <w:r w:rsidRPr="00553C70">
        <w:rPr>
          <w:rFonts w:eastAsia="Montserrat" w:cstheme="minorHAnsi"/>
          <w:b/>
          <w:color w:val="333333"/>
          <w:shd w:val="clear" w:color="auto" w:fill="F4F4F4"/>
        </w:rPr>
        <w:t xml:space="preserve"> López Londoño, J. (2023)</w:t>
      </w:r>
    </w:p>
    <w:p w14:paraId="744D9603" w14:textId="77777777" w:rsidR="00016192" w:rsidRPr="00553C70" w:rsidRDefault="00016192" w:rsidP="00016192">
      <w:pPr>
        <w:spacing w:line="360" w:lineRule="auto"/>
        <w:jc w:val="both"/>
        <w:rPr>
          <w:rFonts w:cstheme="minorHAnsi"/>
        </w:rPr>
      </w:pPr>
      <w:r w:rsidRPr="00F534B8">
        <w:rPr>
          <w:rFonts w:cstheme="minorHAnsi"/>
        </w:rPr>
        <w:t>La hermana Margarita Ligia Mejía Delgado, quien formó parte de la comunidad religiosa terciaria Capuchina, entre 1944 y 1946, realizó la donación más amplia y significativa. La hermana Ligia desarrolló relaciones afectivas sólidas durante más de dos décadas en el departamento del Vaupés, particularmente en las comunidades del Vaupés, lo que permitió establecer vínculos recíprocos. Estas relaciones le permitieron reunir una gran cantidad de objetos. Después, su sobrina Beatriz Mejía Palacio entregó la colección al centro de museo en 2019 y en una fecha posterior que aún no se ha establecido</w:t>
      </w:r>
      <w:r w:rsidRPr="00553C70">
        <w:rPr>
          <w:rFonts w:cstheme="minorHAnsi"/>
        </w:rPr>
        <w:t xml:space="preserve">. </w:t>
      </w:r>
      <w:r w:rsidRPr="00553C70">
        <w:rPr>
          <w:rFonts w:eastAsia="Montserrat" w:cstheme="minorHAnsi"/>
          <w:b/>
          <w:color w:val="333333"/>
          <w:shd w:val="clear" w:color="auto" w:fill="F4F4F4"/>
        </w:rPr>
        <w:t>López Londoño, J. (2023)</w:t>
      </w:r>
    </w:p>
    <w:p w14:paraId="5F80E0BB" w14:textId="77777777" w:rsidR="00016192" w:rsidRDefault="00016192" w:rsidP="00016192">
      <w:pPr>
        <w:spacing w:line="360" w:lineRule="auto"/>
        <w:jc w:val="both"/>
        <w:rPr>
          <w:rFonts w:cstheme="minorHAnsi"/>
        </w:rPr>
      </w:pPr>
    </w:p>
    <w:p w14:paraId="6E3A58A5" w14:textId="77777777" w:rsidR="00016192" w:rsidRDefault="00016192" w:rsidP="00016192">
      <w:pPr>
        <w:spacing w:line="360" w:lineRule="auto"/>
        <w:jc w:val="both"/>
        <w:rPr>
          <w:rFonts w:cstheme="minorHAnsi"/>
        </w:rPr>
      </w:pPr>
    </w:p>
    <w:p w14:paraId="4F67B5AA" w14:textId="77777777" w:rsidR="00016192" w:rsidRPr="00553C70" w:rsidRDefault="00016192" w:rsidP="00016192">
      <w:pPr>
        <w:spacing w:line="360" w:lineRule="auto"/>
        <w:jc w:val="both"/>
        <w:rPr>
          <w:rFonts w:cstheme="minorHAnsi"/>
        </w:rPr>
      </w:pPr>
    </w:p>
    <w:p w14:paraId="58B1212F" w14:textId="77777777" w:rsidR="00016192" w:rsidRDefault="00016192" w:rsidP="00016192">
      <w:pPr>
        <w:spacing w:line="360" w:lineRule="auto"/>
        <w:jc w:val="both"/>
        <w:rPr>
          <w:rFonts w:cstheme="minorHAnsi"/>
          <w:color w:val="FF0000"/>
        </w:rPr>
      </w:pPr>
      <w:r w:rsidRPr="00553C70">
        <w:rPr>
          <w:rFonts w:cstheme="minorHAnsi"/>
          <w:color w:val="FF0000"/>
        </w:rPr>
        <w:t xml:space="preserve">Hidromiel </w:t>
      </w:r>
    </w:p>
    <w:p w14:paraId="1E52ED88" w14:textId="77777777" w:rsidR="00016192" w:rsidRDefault="00016192" w:rsidP="00016192">
      <w:pPr>
        <w:spacing w:line="360" w:lineRule="auto"/>
        <w:jc w:val="both"/>
        <w:rPr>
          <w:rFonts w:cstheme="minorHAnsi"/>
        </w:rPr>
      </w:pPr>
      <w:r w:rsidRPr="00F534B8">
        <w:rPr>
          <w:rFonts w:cstheme="minorHAnsi"/>
        </w:rPr>
        <w:t>El objeto arqueológico Cl/001-043-02-2-4983 número 4983 que se descubrió en el proyecto ISAGEN (2009). El área de estudio del sector del Magdalena medio ha sido descubierta y tiene una gran cantidad y diversidad de datos arqueológicos. Dado su estilo decorativo, esta pieza arqueológica está relacionada con el tipo de cerámica del complejo El Oro (castaño 1985), que se remonta al 2000 antes de Cristo 700.</w:t>
      </w:r>
    </w:p>
    <w:p w14:paraId="6E6F2BA2" w14:textId="77777777" w:rsidR="00016192" w:rsidRDefault="00016192" w:rsidP="00016192">
      <w:pPr>
        <w:spacing w:line="360" w:lineRule="auto"/>
        <w:jc w:val="both"/>
        <w:rPr>
          <w:rFonts w:cstheme="minorHAnsi"/>
        </w:rPr>
      </w:pPr>
    </w:p>
    <w:p w14:paraId="39E9CCA7" w14:textId="77777777" w:rsidR="00016192" w:rsidRPr="00477C0B" w:rsidRDefault="00016192" w:rsidP="00016192">
      <w:pPr>
        <w:spacing w:line="360" w:lineRule="auto"/>
        <w:jc w:val="both"/>
        <w:rPr>
          <w:rFonts w:eastAsia="Times New Roman" w:cstheme="minorHAnsi"/>
          <w:lang w:eastAsia="es-CO"/>
        </w:rPr>
      </w:pPr>
      <w:r w:rsidRPr="001F4D3D">
        <w:rPr>
          <w:rFonts w:eastAsia="Times New Roman" w:cstheme="minorHAnsi"/>
          <w:color w:val="000000"/>
          <w:lang w:eastAsia="es-CO"/>
        </w:rPr>
        <w:t xml:space="preserve">Gracias a la investigación de </w:t>
      </w:r>
      <w:proofErr w:type="spellStart"/>
      <w:r w:rsidRPr="001F4D3D">
        <w:rPr>
          <w:rFonts w:eastAsia="Times New Roman" w:cstheme="minorHAnsi"/>
          <w:color w:val="000000"/>
          <w:lang w:eastAsia="es-CO"/>
        </w:rPr>
        <w:t>Piazzini</w:t>
      </w:r>
      <w:proofErr w:type="spellEnd"/>
      <w:r w:rsidRPr="001F4D3D">
        <w:rPr>
          <w:rFonts w:eastAsia="Times New Roman" w:cstheme="minorHAnsi"/>
          <w:color w:val="000000"/>
          <w:lang w:eastAsia="es-CO"/>
        </w:rPr>
        <w:t xml:space="preserve"> (2003), que muestra los resultados de las investigaciones realizadas desde la construcción de la central hidroeléctrica Miel I, entre </w:t>
      </w:r>
      <w:r w:rsidRPr="001F4D3D">
        <w:rPr>
          <w:rFonts w:eastAsia="Times New Roman" w:cstheme="minorHAnsi"/>
          <w:color w:val="000000"/>
          <w:lang w:eastAsia="es-CO"/>
        </w:rPr>
        <w:lastRenderedPageBreak/>
        <w:t>1997 y 2002, y expone los resultados del plan de manejo ambiental de ISAGEN. Se hizo una conexión entre los restos arqueológicos encontrados en la zona y las posibles sociedades o grupos que posiblemente vivieron allí, su estructura social y la época en la que se ubicaron los asentamientos. que permitió una mayor contribución a la renovación, conservación y expansión de la memoria histórica de la zona. No obstante, Romero (1995) afirma que en el complejo El Oro, se encuentra dentro de una misma tradición cultural, posiblemente como resultado de la migración de pueblos cercanos que contribuyeron con un complejo cerámico en la zona.</w:t>
      </w:r>
    </w:p>
    <w:p w14:paraId="595D0499" w14:textId="77777777" w:rsidR="00016192" w:rsidRDefault="00016192" w:rsidP="00016192"/>
    <w:p w14:paraId="60864AEE" w14:textId="77777777" w:rsidR="00016192" w:rsidRDefault="00016192" w:rsidP="00016192"/>
    <w:p w14:paraId="1AF57523" w14:textId="77777777" w:rsidR="00016192" w:rsidRDefault="00016192" w:rsidP="00016192"/>
    <w:p w14:paraId="559B9009" w14:textId="77777777" w:rsidR="00016192" w:rsidRDefault="00016192" w:rsidP="00016192"/>
    <w:p w14:paraId="3D749135" w14:textId="77777777" w:rsidR="00016192" w:rsidRDefault="00016192"/>
    <w:sectPr w:rsidR="0001619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gela María Cadena Muñoz" w:date="2024-06-05T21:41:00Z" w:initials="">
    <w:p w14:paraId="6ABBA5AD" w14:textId="77777777" w:rsidR="00016192" w:rsidRDefault="00016192" w:rsidP="000161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hacen falta los códigos de las piezas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BBA5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BBA5AD" w16cid:durableId="12A5AC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92"/>
    <w:rsid w:val="00016192"/>
    <w:rsid w:val="00B7269F"/>
    <w:rsid w:val="00F662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AC14"/>
  <w15:chartTrackingRefBased/>
  <w15:docId w15:val="{C4BE9162-BCC6-4C77-8474-7160E168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92"/>
    <w:pPr>
      <w:spacing w:after="0" w:line="240" w:lineRule="auto"/>
    </w:pPr>
    <w:rPr>
      <w:rFonts w:ascii="Calibri" w:eastAsia="Calibri" w:hAnsi="Calibri" w:cs="Calibri"/>
      <w:kern w:val="0"/>
      <w:sz w:val="24"/>
      <w:szCs w:val="24"/>
      <w:lang w:val="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1029</Words>
  <Characters>5662</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dc:creator>
  <cp:keywords/>
  <dc:description/>
  <cp:lastModifiedBy>Juliana</cp:lastModifiedBy>
  <cp:revision>1</cp:revision>
  <dcterms:created xsi:type="dcterms:W3CDTF">2024-07-05T21:20:00Z</dcterms:created>
  <dcterms:modified xsi:type="dcterms:W3CDTF">2024-07-05T21:29:00Z</dcterms:modified>
</cp:coreProperties>
</file>