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47"/>
        <w:gridCol w:w="867"/>
        <w:gridCol w:w="867"/>
        <w:gridCol w:w="867"/>
        <w:gridCol w:w="911"/>
      </w:tblGrid>
      <w:tr>
        <w:trPr>
          <w:trHeight w:val="549" w:hRule="auto"/>
          <w:tblHeader/>
        </w:trPr>
        <w:tc>
          <w:tcPr>
            <w:gridSpan w:val="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Table 1 - RMSE relative to the random walk (selected models)</w:t>
            </w:r>
          </w:p>
        </w:tc>
      </w:tr>
      <w:tr>
        <w:trPr>
          <w:trHeight w:val="549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 = 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 = 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 = 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 = 12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Random walk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1.000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LASSO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0.528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Elastic Net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0.521</w:t>
            </w:r>
          </w:p>
        </w:tc>
      </w:tr>
      <w:tr>
        <w:trPr>
          <w:trHeight w:val="5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Random Forest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0.621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0.630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2SRR-AR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0.652</w:t>
            </w:r>
          </w:p>
        </w:tc>
      </w:tr>
      <w:tr>
        <w:trPr>
          <w:trHeight w:val="541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2SRR-FAVAR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2026-05-23T19:51:22Z</dcterms:modified>
  <cp:category/>
</cp:coreProperties>
</file>