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k961o7sl43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c3a7q7brpq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b38uzpcpv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vg39xpcdex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qtm2pxl490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pwsnihtnc6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uva1e93zcyy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97l28aq269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pd81g88pk2q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25dqm1c5bud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53pk383gei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etnmznin4v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bykrpghjmp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cinfwbz55i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gwxjnc557hx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nvzsro5zsdz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5cl4zekpsp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miw492msr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ex1lxts3hst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o0kf1om2km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tl28ny1mw80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cb67591d2ja" w:id="21"/>
      <w:bookmarkEnd w:id="21"/>
      <w:r w:rsidDel="00000000" w:rsidR="00000000" w:rsidRPr="00000000">
        <w:rPr>
          <w:rtl w:val="0"/>
        </w:rPr>
        <w:t xml:space="preserve">Capítulo 1 — Gráficos para Variáveis Qualitativas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uaubbk9sc3n" w:id="22"/>
      <w:bookmarkEnd w:id="22"/>
      <w:r w:rsidDel="00000000" w:rsidR="00000000" w:rsidRPr="00000000">
        <w:rPr>
          <w:rtl w:val="0"/>
        </w:rPr>
        <w:t xml:space="preserve">Um número não diz tudo — às vezes é preciso 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pesquisa tinha 400 alunos, quatro categorias e uma tabela de frequências pronta. Mas quando o professor projetou a tabela, metade da turma não conseguiu identificar de imediato qual categoria dominava. Números organizam — gráficos revelam.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você vê um gráfico de pizza com oito fatias parecidas, consegue comparar as categorias com facilidade? Que representação funcionaria melhor?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rmjlz4sd4en" w:id="23"/>
      <w:bookmarkEnd w:id="23"/>
      <w:r w:rsidDel="00000000" w:rsidR="00000000" w:rsidRPr="00000000">
        <w:rPr>
          <w:rtl w:val="0"/>
        </w:rPr>
        <w:t xml:space="preserve">1. Gráfico de barras e gráfico de colunas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Barras e colunas representam frequências de categorias por retângulos proporcionais — a diferença está na orientação e no contexto de uso.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2475"/>
        <w:gridCol w:w="1695"/>
        <w:tblGridChange w:id="0">
          <w:tblGrid>
            <w:gridCol w:w="915"/>
            <w:gridCol w:w="247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Quando usar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Categorias no eixo horizontal, retângulos crescem verticalmente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Comparação direta; poucos grupos; nomes curtos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Categorias no eixo vertical, retângulos crescem horizontalmente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Nomes longos; muitas categorias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Três exigências técnicas valem para os dois tipos: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 a partir do zero:</w:t>
      </w:r>
      <w:r w:rsidDel="00000000" w:rsidR="00000000" w:rsidRPr="00000000">
        <w:rPr>
          <w:rtl w:val="0"/>
        </w:rPr>
        <w:t xml:space="preserve"> truncar o eixo distorce visualmente as proporções;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Largura constante:</w:t>
      </w:r>
      <w:r w:rsidDel="00000000" w:rsidR="00000000" w:rsidRPr="00000000">
        <w:rPr>
          <w:rtl w:val="0"/>
        </w:rPr>
        <w:t xml:space="preserve"> apenas a altura (ou comprimento) varia entre categorias;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separadas:</w:t>
      </w:r>
      <w:r w:rsidDel="00000000" w:rsidR="00000000" w:rsidRPr="00000000">
        <w:rPr>
          <w:rtl w:val="0"/>
        </w:rPr>
        <w:t xml:space="preserve"> o espaço entre elas marca que as categorias são distintas — diferente do histograma.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Veja o exemplo abaixo. Uma pesquisa com 200 estudantes sobre transporte até a escola: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01600" cy="139700"/>
                    <wp:effectExtent b="0" l="0" r="0" t="0"/>
                    <wp:docPr id="47" name="image46.png"/>
                    <a:graphic>
                      <a:graphicData uri="http://schemas.openxmlformats.org/drawingml/2006/picture">
                        <pic:pic>
                          <pic:nvPicPr>
                            <pic:cNvPr id="0" name="image46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495300" cy="152400"/>
                    <wp:effectExtent b="0" l="0" r="0" t="0"/>
                    <wp:docPr id="58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5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Ônibus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Carro/moto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Bicicleta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o gráfico de colunas com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eixo horizontal com as quatro categorias; eixo vertical de 0 a 80, marcações em 0, 20, 40, 60, 80; altura de cada coluna igual ao </w:t>
      </w:r>
      <w:hyperlink r:id="rId11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2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correspondente; título, rótulos e fonte obrigatórios.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Relatórios do IBGE usam colunas para comparar grupos etários — nomes curtos que cabem bem no eixo horizontal.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j3anr47h70sk" w:id="24"/>
      <w:bookmarkEnd w:id="24"/>
      <w:r w:rsidDel="00000000" w:rsidR="00000000" w:rsidRPr="00000000">
        <w:rPr>
          <w:rtl w:val="0"/>
        </w:rPr>
        <w:t xml:space="preserve">2. Gráfico de setores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gráfico de setores representa cada categoria como uma fatia de círculo com área proporcional à frequência relativa — responde à pergunta "qual é a parcela de cada parte no todo?".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ângulo central de cada setor é: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990600" cy="139700"/>
              <wp:effectExtent b="0" l="0" r="0" t="0"/>
              <wp:docPr id="1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onde </w:t>
      </w:r>
      <w:hyperlink r:id="rId14">
        <w:r w:rsidDel="00000000" w:rsidR="00000000" w:rsidRPr="00000000">
          <w:rPr/>
          <w:drawing>
            <wp:inline distB="19050" distT="19050" distL="19050" distR="19050">
              <wp:extent cx="88900" cy="127000"/>
              <wp:effectExtent b="0" l="0" r="0" t="0"/>
              <wp:docPr id="4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ângulo do setor e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90500" cy="139700"/>
              <wp:effectExtent b="0" l="0" r="0" t="0"/>
              <wp:docPr id="4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frequência relativa em decimal.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Calculando o ângulo para </w:t>
      </w:r>
      <w:r w:rsidDel="00000000" w:rsidR="00000000" w:rsidRPr="00000000">
        <w:rPr>
          <w:b w:val="1"/>
          <w:bCs w:val="1"/>
          <w:rtl w:val="0"/>
        </w:rPr>
        <w:t xml:space="preserve">A pé</w:t>
      </w:r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/>
          <w:drawing>
            <wp:inline distB="19050" distT="19050" distL="19050" distR="19050">
              <wp:extent cx="660400" cy="139700"/>
              <wp:effectExtent b="0" l="0" r="0" t="0"/>
              <wp:docPr id="2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1016000" cy="1397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4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Calculando o ângulo para </w:t>
      </w:r>
      <w:r w:rsidDel="00000000" w:rsidR="00000000" w:rsidRPr="00000000">
        <w:rPr>
          <w:b w:val="1"/>
          <w:bCs w:val="1"/>
          <w:rtl w:val="0"/>
        </w:rPr>
        <w:t xml:space="preserve">Ônibus</w:t>
      </w:r>
      <w:r w:rsidDel="00000000" w:rsidR="00000000" w:rsidRPr="00000000">
        <w:rPr>
          <w:rtl w:val="0"/>
        </w:rPr>
        <w:t xml:space="preserve"> (</w:t>
      </w:r>
      <w:hyperlink r:id="rId24">
        <w:r w:rsidDel="00000000" w:rsidR="00000000" w:rsidRPr="00000000">
          <w:rPr/>
          <w:drawing>
            <wp:inline distB="19050" distT="19050" distL="19050" distR="19050">
              <wp:extent cx="660400" cy="139700"/>
              <wp:effectExtent b="0" l="0" r="0" t="0"/>
              <wp:docPr id="4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1016000" cy="1397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2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Os demais seguem o mesmo padrão. Tabela completa: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90500" cy="139700"/>
                    <wp:effectExtent b="0" l="0" r="0" t="0"/>
                    <wp:docPr id="35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hyperlink r:id="rId3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88900" cy="127000"/>
                    <wp:effectExtent b="0" l="0" r="0" t="0"/>
                    <wp:docPr id="56" name="image67.png"/>
                    <a:graphic>
                      <a:graphicData uri="http://schemas.openxmlformats.org/drawingml/2006/picture">
                        <pic:pic>
                          <pic:nvPicPr>
                            <pic:cNvPr id="0" name="image67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Ônibus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Carro/moto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Bicicleta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Verificação: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2171700" cy="114300"/>
              <wp:effectExtent b="0" l="0" r="0" t="0"/>
              <wp:docPr id="1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soma dos ângulos deve fechar sempre em </w:t>
      </w:r>
      <w:hyperlink r:id="rId3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Duas situações em que o gráfico de setores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é a melhor escolha: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Muitas categorias semelhantes:</w:t>
      </w:r>
      <w:r w:rsidDel="00000000" w:rsidR="00000000" w:rsidRPr="00000000">
        <w:rPr>
          <w:rtl w:val="0"/>
        </w:rPr>
        <w:t xml:space="preserve"> com mais de cinco ou seis fatias parecidas, a comparação visual falha — barras são mais eficientes;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Comparação entre dois grupos:</w:t>
      </w:r>
      <w:r w:rsidDel="00000000" w:rsidR="00000000" w:rsidRPr="00000000">
        <w:rPr>
          <w:rtl w:val="0"/>
        </w:rPr>
        <w:t xml:space="preserve"> exige dois círculos separados, dificultando a leitura — colunas paralelas são superiores.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Uma pesquisa sobre time favorito com 500 pessoas e 12 times diferentes — setores ou barras?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o5sosfjcsnde" w:id="25"/>
      <w:bookmarkEnd w:id="25"/>
      <w:r w:rsidDel="00000000" w:rsidR="00000000" w:rsidRPr="00000000">
        <w:rPr>
          <w:rtl w:val="0"/>
        </w:rPr>
        <w:t xml:space="preserve">3. Pictogramas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pictograma substitui retângulos por ícones — cada ícone representa um valor fixo definido na legenda, e a quantidade de ícones por categoria é proporcional à frequência.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armadilha mais comum é dobrar a </w:t>
      </w: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 do ícone para representar o dobro da frequência. Como a área cresce com o quadrado da escala linear, um ícone duas vezes mais alto tem área quatro vezes maior — a percepção visual registra uma diferença muito maior do que a real.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variação de frequência = variação no 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 de ícones, nunca no tamanho.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Pictogramas surgiram em jornais do século XIX para tornar dados acessíveis a leitores sem familiaridade com escalas numéricas.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mvaszqk4aoor" w:id="26"/>
      <w:bookmarkEnd w:id="26"/>
      <w:r w:rsidDel="00000000" w:rsidR="00000000" w:rsidRPr="00000000">
        <w:rPr>
          <w:rtl w:val="0"/>
        </w:rPr>
        <w:t xml:space="preserve">4. Como escolher o gráfico adequado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escolha decorre do tipo de dado e do objetivo — não da preferência estética.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categorias (nomes curtos)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longos congestionam o eixo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categorias (nomes longos)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Menos intuitivo para séries temporais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composição de um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Ineficiente com muitas categorias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Pictograma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Comunicação visual de amplo alcance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 por tamanho distorce a leitura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Gráficos de aprovação presidencial frequentemente truncam o eixo em 30% — uma variação de 5 pontos percentuais parece triplicar visualmente.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lo9e4r69bk5v" w:id="27"/>
      <w:bookmarkEnd w:id="2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IBGE usa colunas para comparar grupos etários e setores para distribuição de escolaridade — porque cada tipo responde a uma pergunta diferente sobre os mesmos dados. Escolher o gráfico errado pode induzir o leitor a conclusões que os dados não sustentam.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v4prkdjqp10n" w:id="28"/>
      <w:bookmarkEnd w:id="2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coração do entendido adquire o conhecimento, e o ouvido dos sábios busca o saber." Provérbios 18:15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Escolher o gráfico certo e manter a escala honesta são decisões éticas, não apenas técnicas. Um gráfico truncado ou mal escolhido distorce a realidade com a mesma eficácia de uma afirmação falsa.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Represente com fidelidade.</w:t>
      </w:r>
      <w:r w:rsidDel="00000000" w:rsidR="00000000" w:rsidRPr="00000000">
        <w:rPr>
          <w:rtl w:val="0"/>
        </w:rPr>
        <w:t xml:space="preserve"> A escala correta e o tipo adequado são formas de honestidade com quem lê. "Pesos falsos e medidas falsas são abominação ao Senhor" (Provérbios 20:23).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foi influenciado por um gráfico que, analisado com cuidado, estava distorcendo a realidade? O que tornava a distorção difícil de notar?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xwpt7bxtt18i" w:id="29"/>
      <w:bookmarkEnd w:id="2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Barras, colunas, setores e pictogramas servem a variáveis qualitativas — cada um responde a uma pergunta diferente sobre os dados. A escolha correta depende do objetivo e do número de categorias; a construção correta exige escala a partir do zero, largura constante e elementos obrigatórios (título, rótulos, fonte).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63cmlqo2yum3" w:id="30"/>
      <w:bookmarkEnd w:id="3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Barras/colunas:</w:t>
      </w:r>
      <w:r w:rsidDel="00000000" w:rsidR="00000000" w:rsidRPr="00000000">
        <w:rPr>
          <w:rtl w:val="0"/>
        </w:rPr>
        <w:t xml:space="preserve"> comparação entre categorias — barras para nomes longos, colunas para comparações diretas; eixo sempre a partir do zero;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Setores:</w:t>
      </w:r>
      <w:r w:rsidDel="00000000" w:rsidR="00000000" w:rsidRPr="00000000">
        <w:rPr>
          <w:rtl w:val="0"/>
        </w:rPr>
        <w:t xml:space="preserve"> composição de um todo — ângulo central </w:t>
      </w:r>
      <w:hyperlink r:id="rId36">
        <w:r w:rsidDel="00000000" w:rsidR="00000000" w:rsidRPr="00000000">
          <w:rPr/>
          <w:drawing>
            <wp:inline distB="19050" distT="19050" distL="19050" distR="19050">
              <wp:extent cx="990600" cy="139700"/>
              <wp:effectExtent b="0" l="0" r="0" t="0"/>
              <wp:docPr id="3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ineficiente com muitas categorias semelhantes;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Pictograma:</w:t>
      </w:r>
      <w:r w:rsidDel="00000000" w:rsidR="00000000" w:rsidRPr="00000000">
        <w:rPr>
          <w:rtl w:val="0"/>
        </w:rPr>
        <w:t xml:space="preserve"> frequência por número de ícones, nunca por tamanho — dobrar a altura quadruplica a área percebida.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qjwp358nyv4b" w:id="31"/>
      <w:bookmarkEnd w:id="31"/>
      <w:r w:rsidDel="00000000" w:rsidR="00000000" w:rsidRPr="00000000">
        <w:rPr>
          <w:rtl w:val="0"/>
        </w:rPr>
        <w:t xml:space="preserve">Capítulo 2 — Gráficos para Variáveis Quantitativas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v6wun6ctf7f9" w:id="32"/>
      <w:bookmarkEnd w:id="32"/>
      <w:r w:rsidDel="00000000" w:rsidR="00000000" w:rsidRPr="00000000">
        <w:rPr>
          <w:rtl w:val="0"/>
        </w:rPr>
        <w:t xml:space="preserve">O que o gráfico de barras não consegue mostrar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Um aluno recebeu a lista de notas da turma e usou colunas separadas — uma para cada valor diferente. O resultado foram dezessete colunas espremidas, ilegível. O problema não era o aluno: era a ferramenta. Variáveis quantitativas contínuas agrupadas em classes exigem representações próprias.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80% dos alunos da escola têm entre 14 e 17 anos, que gráfico comunicaria melhor essa distribuição do que uma coluna por idade?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o0fkeml9zn7m" w:id="33"/>
      <w:bookmarkEnd w:id="33"/>
      <w:r w:rsidDel="00000000" w:rsidR="00000000" w:rsidRPr="00000000">
        <w:rPr>
          <w:rtl w:val="0"/>
        </w:rPr>
        <w:t xml:space="preserve">1. Histograma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 histograma representa a distribuição de frequências de variáveis quantitativas agrupadas em classes — e se distingue do gráfico de colunas por três características: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Barras contíguas:</w:t>
      </w:r>
      <w:r w:rsidDel="00000000" w:rsidR="00000000" w:rsidRPr="00000000">
        <w:rPr>
          <w:rtl w:val="0"/>
        </w:rPr>
        <w:t xml:space="preserve"> retângulos justapostos, sem espaço — a continuidade dos dados não admite interrupção;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= amplitude da classe:</w:t>
      </w:r>
      <w:r w:rsidDel="00000000" w:rsidR="00000000" w:rsidRPr="00000000">
        <w:rPr>
          <w:rtl w:val="0"/>
        </w:rPr>
        <w:t xml:space="preserve"> a largura de cada retângulo corresponde ao intervalo </w:t>
      </w:r>
      <w:hyperlink r:id="rId37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 = frequência:</w:t>
      </w:r>
      <w:r w:rsidDel="00000000" w:rsidR="00000000" w:rsidRPr="00000000">
        <w:rPr>
          <w:rtl w:val="0"/>
        </w:rPr>
        <w:t xml:space="preserve"> proporcional a </w:t>
      </w:r>
      <w:hyperlink r:id="rId39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4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ou </w:t>
      </w:r>
      <w:hyperlink r:id="rId40">
        <w:r w:rsidDel="00000000" w:rsidR="00000000" w:rsidRPr="00000000">
          <w:rPr/>
          <w:drawing>
            <wp:inline distB="19050" distT="19050" distL="19050" distR="19050">
              <wp:extent cx="190500" cy="139700"/>
              <wp:effectExtent b="0" l="0" r="0" t="0"/>
              <wp:docPr id="2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da classe.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 classes de mesma amplitude, a área de cada retângulo é proporcional à frequência — e a soma das áreas representa o total dos dados.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histograma foi criado por Karl Pearson em 1895; o nome vem do grego </w:t>
      </w:r>
      <w:r w:rsidDel="00000000" w:rsidR="00000000" w:rsidRPr="00000000">
        <w:rPr>
          <w:i w:val="1"/>
          <w:iCs w:val="1"/>
          <w:rtl w:val="0"/>
        </w:rPr>
        <w:t xml:space="preserve">histos</w:t>
      </w:r>
      <w:r w:rsidDel="00000000" w:rsidR="00000000" w:rsidRPr="00000000">
        <w:rPr>
          <w:rtl w:val="0"/>
        </w:rPr>
        <w:t xml:space="preserve"> (mastro), pela semelhança visual com mastros enfileirados.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sknm2v2908wg" w:id="34"/>
      <w:bookmarkEnd w:id="34"/>
      <w:r w:rsidDel="00000000" w:rsidR="00000000" w:rsidRPr="00000000">
        <w:rPr>
          <w:rtl w:val="0"/>
        </w:rPr>
        <w:t xml:space="preserve">1.1 Construção e leitura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Tempo de estudo semanal (em horas) de 50 estudantes: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hyperlink r:id="rId4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01600" cy="139700"/>
                    <wp:effectExtent b="0" l="0" r="0" t="0"/>
                    <wp:docPr id="61" name="image47.png"/>
                    <a:graphic>
                      <a:graphicData uri="http://schemas.openxmlformats.org/drawingml/2006/picture">
                        <pic:pic>
                          <pic:nvPicPr>
                            <pic:cNvPr id="0" name="image47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495300" cy="152400"/>
                    <wp:effectExtent b="0" l="0" r="0" t="0"/>
                    <wp:docPr id="3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53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hyperlink r:id="rId43">
              <w:r w:rsidDel="00000000" w:rsidR="00000000" w:rsidRPr="00000000">
                <w:rPr/>
                <w:drawing>
                  <wp:inline distB="19050" distT="19050" distL="19050" distR="19050">
                    <wp:extent cx="355600" cy="152400"/>
                    <wp:effectExtent b="0" l="0" r="0" t="0"/>
                    <wp:docPr id="14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5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hyperlink r:id="rId45">
              <w:r w:rsidDel="00000000" w:rsidR="00000000" w:rsidRPr="00000000">
                <w:rPr/>
                <w:drawing>
                  <wp:inline distB="19050" distT="19050" distL="19050" distR="19050">
                    <wp:extent cx="431800" cy="152400"/>
                    <wp:effectExtent b="0" l="0" r="0" t="0"/>
                    <wp:docPr id="63" name="image60.png"/>
                    <a:graphic>
                      <a:graphicData uri="http://schemas.openxmlformats.org/drawingml/2006/picture">
                        <pic:pic>
                          <pic:nvPicPr>
                            <pic:cNvPr id="0" name="image60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31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hyperlink r:id="rId47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52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hyperlink r:id="rId49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49" name="image45.png"/>
                    <a:graphic>
                      <a:graphicData uri="http://schemas.openxmlformats.org/drawingml/2006/picture">
                        <pic:pic>
                          <pic:nvPicPr>
                            <pic:cNvPr id="0" name="image45.png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hyperlink r:id="rId51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42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Para construir o histograma: eixo horizontal com os limites das classes (4, 8, 12, 16, 20, 24); eixo vertical com </w:t>
      </w:r>
      <w:hyperlink r:id="rId53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4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0 a 20; retângulos justapostos com base entre os limites e altura igual a </w:t>
      </w:r>
      <w:hyperlink r:id="rId54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título, rótulos e fonte obrigatórios.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 histograma revela três aspectos que a tabela esconde: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Concentração:</w:t>
      </w:r>
      <w:r w:rsidDel="00000000" w:rsidR="00000000" w:rsidRPr="00000000">
        <w:rPr>
          <w:rtl w:val="0"/>
        </w:rPr>
        <w:t xml:space="preserve"> classes com retângulos mais altos indicam onde os dados se acumulam — no exemplo, </w:t>
      </w:r>
      <w:hyperlink r:id="rId55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65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7200" cy="139700"/>
              <wp:effectExtent b="0" l="0" r="0" t="0"/>
              <wp:docPr id="37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Dispersão:</w:t>
      </w:r>
      <w:r w:rsidDel="00000000" w:rsidR="00000000" w:rsidRPr="00000000">
        <w:rPr>
          <w:rtl w:val="0"/>
        </w:rPr>
        <w:t xml:space="preserve"> histograma largo = dados espalhados; estreito = dados concentrados;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Assimetria:</w:t>
      </w:r>
      <w:r w:rsidDel="00000000" w:rsidR="00000000" w:rsidRPr="00000000">
        <w:rPr>
          <w:rtl w:val="0"/>
        </w:rPr>
        <w:t xml:space="preserve"> concentração deslocada para a esquerda ou direita do centro.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No histograma do exemplo, a distribuição é simétrica ou assimétrica? Os dados se concentram nos tempos de estudo altos ou baixos?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c1e7iekhr13d" w:id="35"/>
      <w:bookmarkEnd w:id="35"/>
      <w:r w:rsidDel="00000000" w:rsidR="00000000" w:rsidRPr="00000000">
        <w:rPr>
          <w:rtl w:val="0"/>
        </w:rPr>
        <w:t xml:space="preserve">2. Polígono de frequência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polígono de frequência é uma linha pelos pontos médios de cada classe — derivado do histograma, permite sobrepor duas distribuições no mesmo gráfico com clareza.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Três passos para construí-lo: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 — Calcular o ponto médio </w:t>
      </w: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" cy="88900"/>
              <wp:effectExtent b="0" l="0" r="0" t="0"/>
              <wp:docPr id="5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de cada classe: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hyperlink r:id="rId61">
        <w:r w:rsidDel="00000000" w:rsidR="00000000" w:rsidRPr="00000000">
          <w:rPr/>
          <w:drawing>
            <wp:inline distB="19050" distT="19050" distL="19050" distR="19050">
              <wp:extent cx="977900" cy="317500"/>
              <wp:effectExtent b="0" l="0" r="0" t="0"/>
              <wp:docPr id="67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Por exemplo, para a classe </w:t>
      </w:r>
      <w:hyperlink r:id="rId63">
        <w:r w:rsidDel="00000000" w:rsidR="00000000" w:rsidRPr="00000000">
          <w:rPr/>
          <w:drawing>
            <wp:inline distB="19050" distT="19050" distL="19050" distR="19050">
              <wp:extent cx="355600" cy="152400"/>
              <wp:effectExtent b="0" l="0" r="0" t="0"/>
              <wp:docPr id="6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1384300" cy="304800"/>
              <wp:effectExtent b="0" l="0" r="0" t="0"/>
              <wp:docPr id="71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 para a classe </w:t>
      </w:r>
      <w:hyperlink r:id="rId66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2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1536700" cy="304800"/>
              <wp:effectExtent b="0" l="0" r="0" t="0"/>
              <wp:docPr id="5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Os demais seguem o mesmo padrão. Tabela completa: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hyperlink r:id="rId69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88900"/>
                    <wp:effectExtent b="0" l="0" r="0" t="0"/>
                    <wp:docPr id="25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hyperlink r:id="rId7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01600" cy="139700"/>
                    <wp:effectExtent b="0" l="0" r="0" t="0"/>
                    <wp:docPr id="13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hyperlink r:id="rId71">
              <w:r w:rsidDel="00000000" w:rsidR="00000000" w:rsidRPr="00000000">
                <w:rPr/>
                <w:drawing>
                  <wp:inline distB="19050" distT="19050" distL="19050" distR="19050">
                    <wp:extent cx="355600" cy="152400"/>
                    <wp:effectExtent b="0" l="0" r="0" t="0"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5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(6, 5)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hyperlink r:id="rId72">
              <w:r w:rsidDel="00000000" w:rsidR="00000000" w:rsidRPr="00000000">
                <w:rPr/>
                <w:drawing>
                  <wp:inline distB="19050" distT="19050" distL="19050" distR="19050">
                    <wp:extent cx="431800" cy="152400"/>
                    <wp:effectExtent b="0" l="0" r="0" t="0"/>
                    <wp:docPr id="57" name="image59.png"/>
                    <a:graphic>
                      <a:graphicData uri="http://schemas.openxmlformats.org/drawingml/2006/picture">
                        <pic:pic>
                          <pic:nvPicPr>
                            <pic:cNvPr id="0" name="image59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31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(10, 12)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hyperlink r:id="rId73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15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(14, 18)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hyperlink r:id="rId74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1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(18, 10)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hyperlink r:id="rId75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8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(22, 5)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 — Marcar cada ponto </w:t>
      </w:r>
      <w:hyperlink r:id="rId7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69900" cy="152400"/>
              <wp:effectExtent b="0" l="0" r="0" t="0"/>
              <wp:docPr id="39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no plano.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 — Unir os pontos com segmentos de reta e fechar com </w:t>
      </w: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39700"/>
              <wp:effectExtent b="0" l="0" r="0" t="0"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nos extremos</w:t>
      </w:r>
      <w:r w:rsidDel="00000000" w:rsidR="00000000" w:rsidRPr="00000000">
        <w:rPr>
          <w:rtl w:val="0"/>
        </w:rPr>
        <w:t xml:space="preserve"> — pontos (2, 0) e (26, 0), pontos médios das classes fictícias adjacentes.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A área sob o polígono de frequência é igual à soma das áreas dos retângulos do histograma correspondente.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usuzg0telc1d" w:id="36"/>
      <w:bookmarkEnd w:id="36"/>
      <w:r w:rsidDel="00000000" w:rsidR="00000000" w:rsidRPr="00000000">
        <w:rPr>
          <w:rtl w:val="0"/>
        </w:rPr>
        <w:t xml:space="preserve">3. Ogiva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 ogiva — ou polígono de frequências acumuladas — representa </w:t>
      </w:r>
      <w:hyperlink r:id="rId80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51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nos limites superiores das classes. Responde à pergunta: "quantos dados estão abaixo de determinado valor?".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 — Calcular </w:t>
      </w:r>
      <w:hyperlink r:id="rId8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" cy="127000"/>
              <wp:effectExtent b="0" l="0" r="0" t="0"/>
              <wp:docPr id="70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acumulando </w:t>
      </w:r>
      <w:hyperlink r:id="rId8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01600" cy="139700"/>
              <wp:effectExtent b="0" l="0" r="0" t="0"/>
              <wp:docPr id="69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classe a classe: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2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1130300" cy="127000"/>
              <wp:effectExtent b="0" l="0" r="0" t="0"/>
              <wp:docPr id="1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1206500" cy="127000"/>
              <wp:effectExtent b="0" l="0" r="0" t="0"/>
              <wp:docPr id="1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Os demais seguem o mesmo padrão. Tabela completa: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hyperlink r:id="rId90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01600" cy="139700"/>
                    <wp:effectExtent b="0" l="0" r="0" t="0"/>
                    <wp:docPr id="33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hyperlink r:id="rId91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27000"/>
                    <wp:effectExtent b="0" l="0" r="0" t="0"/>
                    <wp:docPr id="4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na ogiva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hyperlink r:id="rId92">
              <w:r w:rsidDel="00000000" w:rsidR="00000000" w:rsidRPr="00000000">
                <w:rPr/>
                <w:drawing>
                  <wp:inline distB="19050" distT="19050" distL="19050" distR="19050">
                    <wp:extent cx="355600" cy="152400"/>
                    <wp:effectExtent b="0" l="0" r="0" t="0"/>
                    <wp:docPr id="7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5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(8, 5)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hyperlink r:id="rId93">
              <w:r w:rsidDel="00000000" w:rsidR="00000000" w:rsidRPr="00000000">
                <w:rPr/>
                <w:drawing>
                  <wp:inline distB="19050" distT="19050" distL="19050" distR="19050">
                    <wp:extent cx="431800" cy="152400"/>
                    <wp:effectExtent b="0" l="0" r="0" t="0"/>
                    <wp:docPr id="60" name="image65.png"/>
                    <a:graphic>
                      <a:graphicData uri="http://schemas.openxmlformats.org/drawingml/2006/picture">
                        <pic:pic>
                          <pic:nvPicPr>
                            <pic:cNvPr id="0" name="image65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31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(12, 17)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hyperlink r:id="rId94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30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(16, 35)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hyperlink r:id="rId95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31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(20, 45)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hyperlink r:id="rId96">
              <w:r w:rsidDel="00000000" w:rsidR="00000000" w:rsidRPr="00000000">
                <w:rPr/>
                <w:drawing>
                  <wp:inline distB="19050" distT="19050" distL="19050" distR="19050">
                    <wp:extent cx="508000" cy="152400"/>
                    <wp:effectExtent b="0" l="0" r="0" t="0"/>
                    <wp:docPr id="68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80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(24, 50)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 — Iniciar em </w:t>
      </w:r>
      <w:hyperlink r:id="rId9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079500" cy="152400"/>
              <wp:effectExtent b="0" l="0" r="0" t="0"/>
              <wp:docPr id="62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9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e unir os pontos com segmentos de 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fa9s77y4a9g3" w:id="37"/>
      <w:bookmarkEnd w:id="37"/>
      <w:r w:rsidDel="00000000" w:rsidR="00000000" w:rsidRPr="00000000">
        <w:rPr>
          <w:rtl w:val="0"/>
        </w:rPr>
        <w:t xml:space="preserve">3.1 Estimando a mediana pela ogiva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 mediana corresponde ao </w:t>
      </w:r>
      <w:hyperlink r:id="rId9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associado a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571500" cy="152400"/>
              <wp:effectExtent b="0" l="0" r="0" t="0"/>
              <wp:docPr id="3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ogiva.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838200" cy="304800"/>
              <wp:effectExtent b="0" l="0" r="0" t="0"/>
              <wp:docPr id="2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Localizando na tabela: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1587500" cy="127000"/>
              <wp:effectExtent b="0" l="0" r="0" t="0"/>
              <wp:docPr id="72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 valor 25 está entre os pontos (12, 17) e (16, 35) — a mediana pertence à classe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50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Curvas de crescimento infantil usadas em pediatria são ogivas — indicam qual percentual de crianças está abaixo de determinado peso ou altura para a idade.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9myy7zai9gu" w:id="38"/>
      <w:bookmarkEnd w:id="38"/>
      <w:r w:rsidDel="00000000" w:rsidR="00000000" w:rsidRPr="00000000">
        <w:rPr>
          <w:rtl w:val="0"/>
        </w:rPr>
        <w:t xml:space="preserve">4. Interpretação crítica: erros e manipulações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Três distorções recorrentes em gráficos: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vertical truncado:</w:t>
      </w:r>
      <w:r w:rsidDel="00000000" w:rsidR="00000000" w:rsidRPr="00000000">
        <w:rPr>
          <w:rtl w:val="0"/>
        </w:rPr>
        <w:t xml:space="preserve"> não iniciar em zero amplifica diferenças pequenas — o mesmo dado parece estável num gráfico e dramático no outro;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 irregular:</w:t>
      </w:r>
      <w:r w:rsidDel="00000000" w:rsidR="00000000" w:rsidRPr="00000000">
        <w:rPr>
          <w:rtl w:val="0"/>
        </w:rPr>
        <w:t xml:space="preserve"> intervalos desiguais no eixo fazem alturas e inclinações deixarem de ser proporcionais à variação real;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Área vs. altura:</w:t>
      </w:r>
      <w:r w:rsidDel="00000000" w:rsidR="00000000" w:rsidRPr="00000000">
        <w:rPr>
          <w:rtl w:val="0"/>
        </w:rPr>
        <w:t xml:space="preserve"> em gráficos 3D e pictogramas, o olho percebe área, não altura — dobrar a altura quadruplica a área percebida.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 efeito do eixo truncado fica claro num exemplo: vendas de 98, 100, 101 e 103 unidades em quatro meses representam uma variação real de apenas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4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Com eixo de 0 a 120, as colunas parecem idênticas. Com eixo de 96 a 105, as mesmas colunas sugerem crescimento acentuado. Os dados são os mesmos — a percepção muda com o eixo.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Ao analisar qualquer gráfico, quatro perguntas identificam distorções: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eixo vertical começa em zero? Se não, a diferença visual é real ou amplificada?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intervalos do eixo são uniformes?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escala de ícones usa número de figuras ou tamanho?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Título e fonte estão presentes?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O TSE obriga institutos a divulgar margem de erro porque candidatos com 49% ± 3% e 51% ± 3% estão estatisticamente empatados — embora o gráfico mostre diferença visual clara.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1qbgz7sus6m5" w:id="39"/>
      <w:bookmarkEnd w:id="3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Histogramas de distribuição de renda publicados pelo Banco Central mostram imediatamente a concentração de rendimentos nas faixas mais baixas — a assimetria à direita é visível no gráfico, mas se perde em tabelas. A ogiva correspondente permite ler diretamente qual percentual da população recebe abaixo de determinado valor.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k1ybsf22t6si" w:id="40"/>
      <w:bookmarkEnd w:id="4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prudente vê o perigo e busca refúgio; o inexperiente segue adiante e sofre as consequências." Provérbios 27:12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Ler um gráfico criticamente é uma forma de prudência. Escalas truncadas e visualizações distorcidas exploram a tendência de confiar no que se vê sem questionar o que está por trás.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Examine antes de concluir.</w:t>
      </w:r>
      <w:r w:rsidDel="00000000" w:rsidR="00000000" w:rsidRPr="00000000">
        <w:rPr>
          <w:rtl w:val="0"/>
        </w:rPr>
        <w:t xml:space="preserve"> Verificar eixos e escala antes de aceitar um gráfico é o mesmo que examinar evidências antes de julgar. "O inexperiente acredita em tudo, mas o prudente examina os seus passos" (Provérbios 14:15).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tomou uma decisão — de compra, de opinião, de voto — influenciado por um gráfico que depois percebeu ser enganoso? O que teria mudado se tivesse verificado os eixos primeiro?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mznl2v40m5o5" w:id="41"/>
      <w:bookmarkEnd w:id="4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Histograma, polígono de frequência e ogiva partem da mesma tabela de distribuição de frequências — o histograma mostra a forma da distribuição, o polígono facilita a comparação entre grupos e a ogiva acumula as frequências para responder perguntas sobre posições e percentuais. Os três podem ser distorcidos se a escala não for honesta.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n6wucs1goj1g" w:id="42"/>
      <w:bookmarkEnd w:id="4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Histograma:</w:t>
      </w:r>
      <w:r w:rsidDel="00000000" w:rsidR="00000000" w:rsidRPr="00000000">
        <w:rPr>
          <w:rtl w:val="0"/>
        </w:rPr>
        <w:t xml:space="preserve"> barras contíguas, base = amplitude da classe, altura =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101600" cy="139700"/>
              <wp:effectExtent b="0" l="0" r="0" t="0"/>
              <wp:docPr id="64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contiguidade é a marca da continuidade dos dados;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Polígono de frequência:</w:t>
      </w:r>
      <w:r w:rsidDel="00000000" w:rsidR="00000000" w:rsidRPr="00000000">
        <w:rPr>
          <w:rtl w:val="0"/>
        </w:rPr>
        <w:t xml:space="preserve"> linha pelos pontos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469900" cy="152400"/>
              <wp:effectExtent b="0" l="0" r="0" t="0"/>
              <wp:docPr id="55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fechada com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355600" cy="139700"/>
              <wp:effectExtent b="0" l="0" r="0" t="0"/>
              <wp:docPr id="3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nos extremos — vantagem: sobrepor distribuições no mesmo gráfico;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Ogiva:</w:t>
      </w:r>
      <w:r w:rsidDel="00000000" w:rsidR="00000000" w:rsidRPr="00000000">
        <w:rPr>
          <w:rtl w:val="0"/>
        </w:rPr>
        <w:t xml:space="preserve"> pontos </w:t>
      </w:r>
      <w:hyperlink r:id="rId113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partir de </w:t>
      </w:r>
      <w:hyperlink r:id="rId115">
        <w:r w:rsidDel="00000000" w:rsidR="00000000" w:rsidRPr="00000000">
          <w:rPr/>
          <w:drawing>
            <wp:inline distB="19050" distT="19050" distL="19050" distR="19050">
              <wp:extent cx="457200" cy="1524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usada para estimar mediana, quartis e percentuais acumulados.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fr_i%20#0" TargetMode="External"/><Relationship Id="rId42" Type="http://schemas.openxmlformats.org/officeDocument/2006/relationships/hyperlink" Target="https://www.codecogs.com/eqnedit.php?latex=%20fr_i%2C(%25)%20#0" TargetMode="External"/><Relationship Id="rId41" Type="http://schemas.openxmlformats.org/officeDocument/2006/relationships/hyperlink" Target="https://www.codecogs.com/eqnedit.php?latex=%20f_i%20#0" TargetMode="External"/><Relationship Id="rId44" Type="http://schemas.openxmlformats.org/officeDocument/2006/relationships/image" Target="media/image13.png"/><Relationship Id="rId43" Type="http://schemas.openxmlformats.org/officeDocument/2006/relationships/hyperlink" Target="https://www.codecogs.com/eqnedit.php?latex=%20%5B4%3B%3B8)%20#0" TargetMode="External"/><Relationship Id="rId46" Type="http://schemas.openxmlformats.org/officeDocument/2006/relationships/image" Target="media/image60.png"/><Relationship Id="rId45" Type="http://schemas.openxmlformats.org/officeDocument/2006/relationships/hyperlink" Target="https://www.codecogs.com/eqnedit.php?latex=%20%5B8%3B%3B12)%20#0" TargetMode="External"/><Relationship Id="rId107" Type="http://schemas.openxmlformats.org/officeDocument/2006/relationships/hyperlink" Target="https://www.codecogs.com/eqnedit.php?latex=%20%5B12%3B%2C16)%20#0" TargetMode="External"/><Relationship Id="rId106" Type="http://schemas.openxmlformats.org/officeDocument/2006/relationships/image" Target="media/image72.png"/><Relationship Id="rId105" Type="http://schemas.openxmlformats.org/officeDocument/2006/relationships/hyperlink" Target="https://www.codecogs.com/eqnedit.php?latex=%20F_2%20%3D%2017%20%3C%2025%20%3C%2035%20%3D%20F_3%20#0" TargetMode="External"/><Relationship Id="rId104" Type="http://schemas.openxmlformats.org/officeDocument/2006/relationships/image" Target="media/image33.png"/><Relationship Id="rId109" Type="http://schemas.openxmlformats.org/officeDocument/2006/relationships/image" Target="media/image52.png"/><Relationship Id="rId108" Type="http://schemas.openxmlformats.org/officeDocument/2006/relationships/hyperlink" Target="https://www.codecogs.com/eqnedit.php?latex=%20%5Capprox%205%25%20#0" TargetMode="External"/><Relationship Id="rId48" Type="http://schemas.openxmlformats.org/officeDocument/2006/relationships/image" Target="media/image37.png"/><Relationship Id="rId47" Type="http://schemas.openxmlformats.org/officeDocument/2006/relationships/hyperlink" Target="https://www.codecogs.com/eqnedit.php?latex=%20%5B12%3B%3B16)%20#0" TargetMode="External"/><Relationship Id="rId49" Type="http://schemas.openxmlformats.org/officeDocument/2006/relationships/hyperlink" Target="https://www.codecogs.com/eqnedit.php?latex=%20%5B16%3B%3B20)%20#0" TargetMode="External"/><Relationship Id="rId103" Type="http://schemas.openxmlformats.org/officeDocument/2006/relationships/hyperlink" Target="https://www.codecogs.com/eqnedit.php?latex=%20%5Cfrac%7Bn%7D%7B2%7D%20%3D%20%5Cfrac%7B50%7D%7B2%7D%20%3D%2025%20#0" TargetMode="External"/><Relationship Id="rId102" Type="http://schemas.openxmlformats.org/officeDocument/2006/relationships/image" Target="media/image54.png"/><Relationship Id="rId101" Type="http://schemas.openxmlformats.org/officeDocument/2006/relationships/hyperlink" Target="https://www.codecogs.com/eqnedit.php?latex=%20F_i%20%3D%20n%2F2%20#0" TargetMode="External"/><Relationship Id="rId100" Type="http://schemas.openxmlformats.org/officeDocument/2006/relationships/image" Target="media/image35.png"/><Relationship Id="rId31" Type="http://schemas.openxmlformats.org/officeDocument/2006/relationships/hyperlink" Target="https://www.codecogs.com/eqnedit.php?latex=%20%5Ctheta_i%20#0" TargetMode="External"/><Relationship Id="rId30" Type="http://schemas.openxmlformats.org/officeDocument/2006/relationships/hyperlink" Target="https://www.codecogs.com/eqnedit.php?latex=%20fr_i%20#0" TargetMode="External"/><Relationship Id="rId33" Type="http://schemas.openxmlformats.org/officeDocument/2006/relationships/image" Target="media/image22.png"/><Relationship Id="rId32" Type="http://schemas.openxmlformats.org/officeDocument/2006/relationships/hyperlink" Target="https://www.codecogs.com/eqnedit.php?latex=%20108%5E%5Ccirc%20%20%2B%20144%5E%5Ccirc%20%20%2B%2072%5E%5Ccirc%20%20%2B%2036%5E%5Ccirc%20%20%3D%20360%5E%5Ccirc%20%20%5Ccheckmark%20#0" TargetMode="External"/><Relationship Id="rId35" Type="http://schemas.openxmlformats.org/officeDocument/2006/relationships/image" Target="media/image36.png"/><Relationship Id="rId34" Type="http://schemas.openxmlformats.org/officeDocument/2006/relationships/hyperlink" Target="https://www.codecogs.com/eqnedit.php?latex=%20360%5E%5Ccirc%20%20#0" TargetMode="External"/><Relationship Id="rId37" Type="http://schemas.openxmlformats.org/officeDocument/2006/relationships/hyperlink" Target="https://www.codecogs.com/eqnedit.php?latex=%20%5BL_i%2C%2C%20L_%7Bi%2B1%7D)%20#0" TargetMode="External"/><Relationship Id="rId36" Type="http://schemas.openxmlformats.org/officeDocument/2006/relationships/hyperlink" Target="https://www.codecogs.com/eqnedit.php?latex=%20%5Ctheta_i%20%3D%20fr_i%20%5Ctimes%20360%5E%5Ccirc%20%20#0" TargetMode="External"/><Relationship Id="rId39" Type="http://schemas.openxmlformats.org/officeDocument/2006/relationships/hyperlink" Target="https://www.codecogs.com/eqnedit.php?latex=%20f_i%20#0" TargetMode="External"/><Relationship Id="rId38" Type="http://schemas.openxmlformats.org/officeDocument/2006/relationships/image" Target="media/image53.png"/><Relationship Id="rId20" Type="http://schemas.openxmlformats.org/officeDocument/2006/relationships/hyperlink" Target="https://www.codecogs.com/eqnedit.php?latex=%20%5Ctheta%20%3D%200%7B%2C%7D30%20%5Ctimes%20360%5E%5Ccirc%20%20#0" TargetMode="External"/><Relationship Id="rId22" Type="http://schemas.openxmlformats.org/officeDocument/2006/relationships/hyperlink" Target="https://www.codecogs.com/eqnedit.php?latex=%20%5Ctheta%20%3D%20108%5E%5Ccirc%20%20#0" TargetMode="External"/><Relationship Id="rId21" Type="http://schemas.openxmlformats.org/officeDocument/2006/relationships/image" Target="media/image5.png"/><Relationship Id="rId24" Type="http://schemas.openxmlformats.org/officeDocument/2006/relationships/hyperlink" Target="https://www.codecogs.com/eqnedit.php?latex=%20fr_i%20%3D%200%7B%2C%7D40%20#0" TargetMode="External"/><Relationship Id="rId23" Type="http://schemas.openxmlformats.org/officeDocument/2006/relationships/image" Target="media/image43.png"/><Relationship Id="rId26" Type="http://schemas.openxmlformats.org/officeDocument/2006/relationships/hyperlink" Target="https://www.codecogs.com/eqnedit.php?latex=%20%5Ctheta%20%3D%200%7B%2C%7D40%20%5Ctimes%20360%5E%5Ccirc%20%20#0" TargetMode="External"/><Relationship Id="rId25" Type="http://schemas.openxmlformats.org/officeDocument/2006/relationships/image" Target="media/image49.png"/><Relationship Id="rId28" Type="http://schemas.openxmlformats.org/officeDocument/2006/relationships/hyperlink" Target="https://www.codecogs.com/eqnedit.php?latex=%20%5Ctheta%20%3D%20144%5E%5Ccirc%20%20#0" TargetMode="External"/><Relationship Id="rId27" Type="http://schemas.openxmlformats.org/officeDocument/2006/relationships/image" Target="media/image10.png"/><Relationship Id="rId29" Type="http://schemas.openxmlformats.org/officeDocument/2006/relationships/image" Target="media/image34.png"/><Relationship Id="rId95" Type="http://schemas.openxmlformats.org/officeDocument/2006/relationships/hyperlink" Target="https://www.codecogs.com/eqnedit.php?latex=%20%5B16%3B%3B20)%20#0" TargetMode="External"/><Relationship Id="rId94" Type="http://schemas.openxmlformats.org/officeDocument/2006/relationships/hyperlink" Target="https://www.codecogs.com/eqnedit.php?latex=%20%5B12%3B%3B16)%20#0" TargetMode="External"/><Relationship Id="rId97" Type="http://schemas.openxmlformats.org/officeDocument/2006/relationships/hyperlink" Target="https://www.codecogs.com/eqnedit.php?latex=%20(L_1%2C%3B%200)%20%3D%20(4%2C%3B%200)%20#0" TargetMode="External"/><Relationship Id="rId96" Type="http://schemas.openxmlformats.org/officeDocument/2006/relationships/hyperlink" Target="https://www.codecogs.com/eqnedit.php?latex=%20%5B20%3B%3B24)%20#0" TargetMode="External"/><Relationship Id="rId11" Type="http://schemas.openxmlformats.org/officeDocument/2006/relationships/hyperlink" Target="https://www.codecogs.com/eqnedit.php?latex=%20f_i%20#0" TargetMode="External"/><Relationship Id="rId99" Type="http://schemas.openxmlformats.org/officeDocument/2006/relationships/hyperlink" Target="https://www.codecogs.com/eqnedit.php?latex=%20x%20#0" TargetMode="External"/><Relationship Id="rId10" Type="http://schemas.openxmlformats.org/officeDocument/2006/relationships/hyperlink" Target="https://www.codecogs.com/eqnedit.php?latex=%20f_i%20#0" TargetMode="External"/><Relationship Id="rId98" Type="http://schemas.openxmlformats.org/officeDocument/2006/relationships/image" Target="media/image68.png"/><Relationship Id="rId13" Type="http://schemas.openxmlformats.org/officeDocument/2006/relationships/image" Target="media/image17.png"/><Relationship Id="rId12" Type="http://schemas.openxmlformats.org/officeDocument/2006/relationships/hyperlink" Target="https://www.codecogs.com/eqnedit.php?latex=%20%5Ctheta_i%20%3D%20fr_i%20%5Ctimes%20360%5E%5Ccirc%20%20#0" TargetMode="External"/><Relationship Id="rId91" Type="http://schemas.openxmlformats.org/officeDocument/2006/relationships/hyperlink" Target="https://www.codecogs.com/eqnedit.php?latex=%20F_i%20#0" TargetMode="External"/><Relationship Id="rId90" Type="http://schemas.openxmlformats.org/officeDocument/2006/relationships/hyperlink" Target="https://www.codecogs.com/eqnedit.php?latex=%20f_i%20#0" TargetMode="External"/><Relationship Id="rId93" Type="http://schemas.openxmlformats.org/officeDocument/2006/relationships/hyperlink" Target="https://www.codecogs.com/eqnedit.php?latex=%20%5B8%3B%3B12)%20#0" TargetMode="External"/><Relationship Id="rId92" Type="http://schemas.openxmlformats.org/officeDocument/2006/relationships/hyperlink" Target="https://www.codecogs.com/eqnedit.php?latex=%20%5B4%3B%3B8)%20#0" TargetMode="External"/><Relationship Id="rId116" Type="http://schemas.openxmlformats.org/officeDocument/2006/relationships/image" Target="media/image2.png"/><Relationship Id="rId115" Type="http://schemas.openxmlformats.org/officeDocument/2006/relationships/hyperlink" Target="https://www.codecogs.com/eqnedit.php?latex=%20(L_1%2C%3B%200)%20#0" TargetMode="External"/><Relationship Id="rId15" Type="http://schemas.openxmlformats.org/officeDocument/2006/relationships/image" Target="media/image38.png"/><Relationship Id="rId110" Type="http://schemas.openxmlformats.org/officeDocument/2006/relationships/hyperlink" Target="https://www.codecogs.com/eqnedit.php?latex=%20f_i%20#0" TargetMode="External"/><Relationship Id="rId14" Type="http://schemas.openxmlformats.org/officeDocument/2006/relationships/hyperlink" Target="https://www.codecogs.com/eqnedit.php?latex=%20%5Ctheta_i%20#0" TargetMode="External"/><Relationship Id="rId17" Type="http://schemas.openxmlformats.org/officeDocument/2006/relationships/image" Target="media/image48.png"/><Relationship Id="rId16" Type="http://schemas.openxmlformats.org/officeDocument/2006/relationships/hyperlink" Target="https://www.codecogs.com/eqnedit.php?latex=%20fr_i%20#0" TargetMode="External"/><Relationship Id="rId19" Type="http://schemas.openxmlformats.org/officeDocument/2006/relationships/image" Target="media/image26.png"/><Relationship Id="rId114" Type="http://schemas.openxmlformats.org/officeDocument/2006/relationships/image" Target="media/image3.png"/><Relationship Id="rId18" Type="http://schemas.openxmlformats.org/officeDocument/2006/relationships/hyperlink" Target="https://www.codecogs.com/eqnedit.php?latex=%20fr_i%20%3D%200%7B%2C%7D30%20#0" TargetMode="External"/><Relationship Id="rId113" Type="http://schemas.openxmlformats.org/officeDocument/2006/relationships/hyperlink" Target="https://www.codecogs.com/eqnedit.php?latex=%20(L_%7Bi%2B1%7D%2C%3B%20F_i)%20#0" TargetMode="External"/><Relationship Id="rId112" Type="http://schemas.openxmlformats.org/officeDocument/2006/relationships/hyperlink" Target="https://www.codecogs.com/eqnedit.php?latex=%20f%20%3D%200%20#0" TargetMode="External"/><Relationship Id="rId111" Type="http://schemas.openxmlformats.org/officeDocument/2006/relationships/hyperlink" Target="https://www.codecogs.com/eqnedit.php?latex=%20(x_i%2C%3B%20f_i)%20#0" TargetMode="External"/><Relationship Id="rId84" Type="http://schemas.openxmlformats.org/officeDocument/2006/relationships/hyperlink" Target="https://www.codecogs.com/eqnedit.php?latex=%20F_1%20%3D%205%20#0" TargetMode="External"/><Relationship Id="rId83" Type="http://schemas.openxmlformats.org/officeDocument/2006/relationships/hyperlink" Target="https://www.codecogs.com/eqnedit.php?latex=%20f_i%20#0" TargetMode="External"/><Relationship Id="rId86" Type="http://schemas.openxmlformats.org/officeDocument/2006/relationships/hyperlink" Target="https://www.codecogs.com/eqnedit.php?latex=%20F_2%20%3D%205%20%2B%2012%20%3D%2017%20#0" TargetMode="External"/><Relationship Id="rId85" Type="http://schemas.openxmlformats.org/officeDocument/2006/relationships/image" Target="media/image9.png"/><Relationship Id="rId88" Type="http://schemas.openxmlformats.org/officeDocument/2006/relationships/hyperlink" Target="https://www.codecogs.com/eqnedit.php?latex=%20F_3%20%3D%2017%20%2B%2018%20%3D%2035%20#0" TargetMode="External"/><Relationship Id="rId87" Type="http://schemas.openxmlformats.org/officeDocument/2006/relationships/image" Target="media/image1.png"/><Relationship Id="rId89" Type="http://schemas.openxmlformats.org/officeDocument/2006/relationships/image" Target="media/image27.png"/><Relationship Id="rId80" Type="http://schemas.openxmlformats.org/officeDocument/2006/relationships/hyperlink" Target="https://www.codecogs.com/eqnedit.php?latex=%20F_i%20#0" TargetMode="External"/><Relationship Id="rId82" Type="http://schemas.openxmlformats.org/officeDocument/2006/relationships/hyperlink" Target="https://www.codecogs.com/eqnedit.php?latex=%20F_i%20#0" TargetMode="External"/><Relationship Id="rId81" Type="http://schemas.openxmlformats.org/officeDocument/2006/relationships/image" Target="media/image6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f_i%20#0" TargetMode="External"/><Relationship Id="rId7" Type="http://schemas.openxmlformats.org/officeDocument/2006/relationships/image" Target="media/image46.png"/><Relationship Id="rId8" Type="http://schemas.openxmlformats.org/officeDocument/2006/relationships/hyperlink" Target="https://www.codecogs.com/eqnedit.php?latex=%20fr_i%2C(%25)%20#0" TargetMode="External"/><Relationship Id="rId73" Type="http://schemas.openxmlformats.org/officeDocument/2006/relationships/hyperlink" Target="https://www.codecogs.com/eqnedit.php?latex=%20%5B12%3B%3B16)%20#0" TargetMode="External"/><Relationship Id="rId72" Type="http://schemas.openxmlformats.org/officeDocument/2006/relationships/hyperlink" Target="https://www.codecogs.com/eqnedit.php?latex=%20%5B8%3B%3B12)%20#0" TargetMode="External"/><Relationship Id="rId75" Type="http://schemas.openxmlformats.org/officeDocument/2006/relationships/hyperlink" Target="https://www.codecogs.com/eqnedit.php?latex=%20%5B20%3B%3B24)%20#0" TargetMode="External"/><Relationship Id="rId74" Type="http://schemas.openxmlformats.org/officeDocument/2006/relationships/hyperlink" Target="https://www.codecogs.com/eqnedit.php?latex=%20%5B16%3B%3B20)%20#0" TargetMode="External"/><Relationship Id="rId77" Type="http://schemas.openxmlformats.org/officeDocument/2006/relationships/image" Target="media/image41.png"/><Relationship Id="rId76" Type="http://schemas.openxmlformats.org/officeDocument/2006/relationships/hyperlink" Target="https://www.codecogs.com/eqnedit.php?latex=%20(x_i%2C%3B%20f_i)%20#0" TargetMode="External"/><Relationship Id="rId79" Type="http://schemas.openxmlformats.org/officeDocument/2006/relationships/image" Target="media/image28.png"/><Relationship Id="rId78" Type="http://schemas.openxmlformats.org/officeDocument/2006/relationships/hyperlink" Target="https://www.codecogs.com/eqnedit.php?latex=%20f%20%3D%200%20#0" TargetMode="External"/><Relationship Id="rId71" Type="http://schemas.openxmlformats.org/officeDocument/2006/relationships/hyperlink" Target="https://www.codecogs.com/eqnedit.php?latex=%20%5B4%3B%3B8)%20#0" TargetMode="External"/><Relationship Id="rId70" Type="http://schemas.openxmlformats.org/officeDocument/2006/relationships/hyperlink" Target="https://www.codecogs.com/eqnedit.php?latex=%20f_i%20#0" TargetMode="External"/><Relationship Id="rId62" Type="http://schemas.openxmlformats.org/officeDocument/2006/relationships/image" Target="media/image71.png"/><Relationship Id="rId61" Type="http://schemas.openxmlformats.org/officeDocument/2006/relationships/hyperlink" Target="https://www.codecogs.com/eqnedit.php?latex=%20x_i%20%3D%20%5Cfrac%7BL_i%20%2B%20L_%7Bi%2B1%7D%7D%7B2%7D%20#0" TargetMode="External"/><Relationship Id="rId64" Type="http://schemas.openxmlformats.org/officeDocument/2006/relationships/hyperlink" Target="https://www.codecogs.com/eqnedit.php?latex=%20x_1%20%3D%20%5Cfrac%7B4%20%2B%208%7D%7B2%7D%20%3D%20%5Cfrac%7B12%7D%7B2%7D%20%3D%206%20#0" TargetMode="External"/><Relationship Id="rId63" Type="http://schemas.openxmlformats.org/officeDocument/2006/relationships/hyperlink" Target="https://www.codecogs.com/eqnedit.php?latex=%20%5B4%3B%3B8)%20#0" TargetMode="External"/><Relationship Id="rId66" Type="http://schemas.openxmlformats.org/officeDocument/2006/relationships/hyperlink" Target="https://www.codecogs.com/eqnedit.php?latex=%20%5B8%3B%3B12)%20#0" TargetMode="External"/><Relationship Id="rId65" Type="http://schemas.openxmlformats.org/officeDocument/2006/relationships/image" Target="media/image70.png"/><Relationship Id="rId68" Type="http://schemas.openxmlformats.org/officeDocument/2006/relationships/image" Target="media/image66.png"/><Relationship Id="rId67" Type="http://schemas.openxmlformats.org/officeDocument/2006/relationships/hyperlink" Target="https://www.codecogs.com/eqnedit.php?latex=%20x_2%20%3D%20%5Cfrac%7B8%20%2B%2012%7D%7B2%7D%20%3D%20%5Cfrac%7B20%7D%7B2%7D%20%3D%2010%20#0" TargetMode="External"/><Relationship Id="rId60" Type="http://schemas.openxmlformats.org/officeDocument/2006/relationships/image" Target="media/image42.png"/><Relationship Id="rId69" Type="http://schemas.openxmlformats.org/officeDocument/2006/relationships/hyperlink" Target="https://www.codecogs.com/eqnedit.php?latex=%20x_i%20#0" TargetMode="External"/><Relationship Id="rId51" Type="http://schemas.openxmlformats.org/officeDocument/2006/relationships/hyperlink" Target="https://www.codecogs.com/eqnedit.php?latex=%20%5B20%3B%3B24)%20#0" TargetMode="External"/><Relationship Id="rId50" Type="http://schemas.openxmlformats.org/officeDocument/2006/relationships/image" Target="media/image45.png"/><Relationship Id="rId53" Type="http://schemas.openxmlformats.org/officeDocument/2006/relationships/hyperlink" Target="https://www.codecogs.com/eqnedit.php?latex=%20f_i%20#0" TargetMode="External"/><Relationship Id="rId52" Type="http://schemas.openxmlformats.org/officeDocument/2006/relationships/image" Target="media/image30.png"/><Relationship Id="rId55" Type="http://schemas.openxmlformats.org/officeDocument/2006/relationships/hyperlink" Target="https://www.codecogs.com/eqnedit.php?latex=%20%5B12%3B%2C16)%20#0" TargetMode="External"/><Relationship Id="rId54" Type="http://schemas.openxmlformats.org/officeDocument/2006/relationships/hyperlink" Target="https://www.codecogs.com/eqnedit.php?latex=%20f_i%20#0" TargetMode="External"/><Relationship Id="rId57" Type="http://schemas.openxmlformats.org/officeDocument/2006/relationships/hyperlink" Target="https://www.codecogs.com/eqnedit.php?latex=%20f_i%20%3D%2018%20#0" TargetMode="External"/><Relationship Id="rId56" Type="http://schemas.openxmlformats.org/officeDocument/2006/relationships/image" Target="media/image63.png"/><Relationship Id="rId59" Type="http://schemas.openxmlformats.org/officeDocument/2006/relationships/hyperlink" Target="https://www.codecogs.com/eqnedit.php?latex=%20x_i%20#0" TargetMode="External"/><Relationship Id="rId5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