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-1481184</wp:posOffset>
            </wp:positionV>
            <wp:extent cx="7773423" cy="10681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325120</wp:posOffset>
                </wp:positionV>
                <wp:extent cx="446532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18103" y="307769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Formato de Informe de Seguimiento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325120</wp:posOffset>
                </wp:positionV>
                <wp:extent cx="4465320" cy="141414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532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  <w:color w:val="ff0062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ff0062"/>
          <w:sz w:val="48"/>
          <w:szCs w:val="48"/>
          <w:rtl w:val="0"/>
        </w:rPr>
        <w:t xml:space="preserve">Formato de Informe de Seguimiento</w:t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5"/>
        <w:gridCol w:w="2245"/>
        <w:tblGridChange w:id="0">
          <w:tblGrid>
            <w:gridCol w:w="2244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Integrantes (Nombre completo)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Cédula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Nivel de participación (Alto, Medio, Bajo, Retirado)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607.5pt;height:834.75pt;rotation:0;z-index:-503316481;mso-position-horizontal-relative:margin;mso-position-horizontal:absolute;margin-left:-82.8pt;mso-position-vertical-relative:margin;mso-position-vertical:absolute;margin-top:-103.2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607.5pt;height:834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607.5pt;height:834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