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FC2" w:rsidRDefault="00712F95">
      <w:r>
        <w:t xml:space="preserve">Aulas 1 a </w:t>
      </w:r>
      <w:proofErr w:type="gramStart"/>
      <w:r>
        <w:t>6</w:t>
      </w:r>
      <w:proofErr w:type="gramEnd"/>
    </w:p>
    <w:p w:rsidR="00712F95" w:rsidRDefault="00712F95"/>
    <w:p w:rsidR="00712F95" w:rsidRDefault="00712F95">
      <w:r>
        <w:t>Definições:</w:t>
      </w:r>
    </w:p>
    <w:p w:rsidR="00712F95" w:rsidRDefault="00712F95" w:rsidP="00712F95">
      <w:pPr>
        <w:pStyle w:val="PargrafodaLista"/>
        <w:numPr>
          <w:ilvl w:val="0"/>
          <w:numId w:val="1"/>
        </w:numPr>
      </w:pPr>
      <w:r>
        <w:t>Despesa</w:t>
      </w:r>
    </w:p>
    <w:p w:rsidR="00712F95" w:rsidRDefault="00712F95" w:rsidP="00712F95">
      <w:pPr>
        <w:pStyle w:val="PargrafodaLista"/>
        <w:numPr>
          <w:ilvl w:val="0"/>
          <w:numId w:val="1"/>
        </w:numPr>
      </w:pPr>
      <w:proofErr w:type="gramStart"/>
      <w:r>
        <w:t>amortização</w:t>
      </w:r>
      <w:proofErr w:type="gramEnd"/>
      <w:r>
        <w:t xml:space="preserve">, </w:t>
      </w:r>
    </w:p>
    <w:p w:rsidR="00712F95" w:rsidRDefault="00712F95" w:rsidP="00712F95">
      <w:pPr>
        <w:pStyle w:val="PargrafodaLista"/>
        <w:numPr>
          <w:ilvl w:val="0"/>
          <w:numId w:val="1"/>
        </w:numPr>
      </w:pPr>
      <w:proofErr w:type="gramStart"/>
      <w:r>
        <w:t>gasto</w:t>
      </w:r>
      <w:proofErr w:type="gramEnd"/>
      <w:r>
        <w:t xml:space="preserve">, </w:t>
      </w:r>
    </w:p>
    <w:p w:rsidR="00712F95" w:rsidRDefault="00712F95" w:rsidP="00712F95">
      <w:pPr>
        <w:pStyle w:val="PargrafodaLista"/>
        <w:numPr>
          <w:ilvl w:val="0"/>
          <w:numId w:val="1"/>
        </w:numPr>
      </w:pPr>
      <w:proofErr w:type="gramStart"/>
      <w:r>
        <w:t>preço</w:t>
      </w:r>
      <w:proofErr w:type="gramEnd"/>
      <w:r>
        <w:t xml:space="preserve">, </w:t>
      </w:r>
    </w:p>
    <w:p w:rsidR="00712F95" w:rsidRDefault="00712F95" w:rsidP="00712F95">
      <w:pPr>
        <w:pStyle w:val="PargrafodaLista"/>
        <w:numPr>
          <w:ilvl w:val="0"/>
          <w:numId w:val="1"/>
        </w:numPr>
      </w:pPr>
      <w:proofErr w:type="gramStart"/>
      <w:r>
        <w:t>perda</w:t>
      </w:r>
      <w:proofErr w:type="gramEnd"/>
      <w:r>
        <w:t xml:space="preserve">, </w:t>
      </w:r>
    </w:p>
    <w:p w:rsidR="00712F95" w:rsidRDefault="00712F95" w:rsidP="00712F95">
      <w:pPr>
        <w:pStyle w:val="PargrafodaLista"/>
        <w:numPr>
          <w:ilvl w:val="0"/>
          <w:numId w:val="1"/>
        </w:numPr>
      </w:pPr>
      <w:proofErr w:type="gramStart"/>
      <w:r>
        <w:t>receita</w:t>
      </w:r>
      <w:proofErr w:type="gramEnd"/>
      <w:r>
        <w:t>,</w:t>
      </w:r>
    </w:p>
    <w:p w:rsidR="00712F95" w:rsidRDefault="00712F95" w:rsidP="00712F95">
      <w:pPr>
        <w:pStyle w:val="PargrafodaLista"/>
        <w:numPr>
          <w:ilvl w:val="0"/>
          <w:numId w:val="1"/>
        </w:numPr>
      </w:pPr>
      <w:proofErr w:type="gramStart"/>
      <w:r>
        <w:t>custo</w:t>
      </w:r>
      <w:proofErr w:type="gramEnd"/>
      <w:r>
        <w:t xml:space="preserve">, </w:t>
      </w:r>
    </w:p>
    <w:p w:rsidR="00712F95" w:rsidRDefault="00712F95" w:rsidP="00712F95">
      <w:pPr>
        <w:pStyle w:val="PargrafodaLista"/>
        <w:numPr>
          <w:ilvl w:val="0"/>
          <w:numId w:val="1"/>
        </w:numPr>
      </w:pPr>
      <w:proofErr w:type="gramStart"/>
      <w:r>
        <w:t>depreciação</w:t>
      </w:r>
      <w:proofErr w:type="gramEnd"/>
      <w:r>
        <w:t xml:space="preserve">. </w:t>
      </w:r>
    </w:p>
    <w:p w:rsidR="00712F95" w:rsidRDefault="00712F95" w:rsidP="00712F95">
      <w:pPr>
        <w:pStyle w:val="PargrafodaLista"/>
        <w:numPr>
          <w:ilvl w:val="0"/>
          <w:numId w:val="1"/>
        </w:numPr>
      </w:pPr>
      <w:r>
        <w:t xml:space="preserve">Faturamento, </w:t>
      </w:r>
    </w:p>
    <w:p w:rsidR="00712F95" w:rsidRDefault="00712F95" w:rsidP="00712F95">
      <w:pPr>
        <w:pStyle w:val="PargrafodaLista"/>
        <w:numPr>
          <w:ilvl w:val="0"/>
          <w:numId w:val="1"/>
        </w:numPr>
      </w:pPr>
      <w:proofErr w:type="gramStart"/>
      <w:r>
        <w:t>margem</w:t>
      </w:r>
      <w:proofErr w:type="gramEnd"/>
      <w:r>
        <w:t>,</w:t>
      </w:r>
    </w:p>
    <w:p w:rsidR="00712F95" w:rsidRDefault="00712F95" w:rsidP="00712F95">
      <w:pPr>
        <w:pStyle w:val="PargrafodaLista"/>
        <w:numPr>
          <w:ilvl w:val="0"/>
          <w:numId w:val="1"/>
        </w:numPr>
      </w:pPr>
      <w:proofErr w:type="gramStart"/>
      <w:r>
        <w:t>investimento</w:t>
      </w:r>
      <w:proofErr w:type="gramEnd"/>
    </w:p>
    <w:p w:rsidR="00712F95" w:rsidRDefault="00712F95">
      <w:pPr>
        <w:pBdr>
          <w:bottom w:val="single" w:sz="6" w:space="1" w:color="auto"/>
        </w:pBdr>
      </w:pPr>
    </w:p>
    <w:p w:rsidR="00712F95" w:rsidRDefault="00712F95"/>
    <w:p w:rsidR="00712F95" w:rsidRPr="00712F95" w:rsidRDefault="00712F95">
      <w:pPr>
        <w:rPr>
          <w:b/>
        </w:rPr>
      </w:pPr>
      <w:r w:rsidRPr="00712F95">
        <w:rPr>
          <w:b/>
        </w:rPr>
        <w:t>Medição de Custos</w:t>
      </w:r>
    </w:p>
    <w:p w:rsidR="00712F95" w:rsidRDefault="00712F95">
      <w:r>
        <w:t>O objetivo do sistema de gerenciamento de custos é medir os custos dos recursos consumidos na execução das atividades significativas do negócio. As análises devem ser suficientes para satisfazer as necessidades internas e externas tais como tomar decisões estratégicas, planejas e controlar rotinas operacionais e determinar posições</w:t>
      </w:r>
      <w:proofErr w:type="gramStart"/>
      <w:r>
        <w:t xml:space="preserve">  </w:t>
      </w:r>
      <w:proofErr w:type="gramEnd"/>
      <w:r>
        <w:t>financeiras e geração de receitas.</w:t>
      </w:r>
    </w:p>
    <w:p w:rsidR="00712F95" w:rsidRPr="00712F95" w:rsidRDefault="00712F95">
      <w:pPr>
        <w:rPr>
          <w:b/>
        </w:rPr>
      </w:pPr>
      <w:r w:rsidRPr="00712F95">
        <w:rPr>
          <w:b/>
        </w:rPr>
        <w:t>Acompanhamento de Custos</w:t>
      </w:r>
    </w:p>
    <w:p w:rsidR="00712F95" w:rsidRDefault="00712F95">
      <w:r>
        <w:t>A utilidade das informações de custos está diretamente relacionada com o acompanhamento dos custos para objetivos gerenciais; a intenção é capturá-los diretamente para projetos e processos que os utilizem; a alocação direta requer que todos os custos fixos e variáveis sejam atribuídos.</w:t>
      </w:r>
    </w:p>
    <w:p w:rsidR="00712F95" w:rsidRPr="00712F95" w:rsidRDefault="00712F95">
      <w:pPr>
        <w:rPr>
          <w:b/>
        </w:rPr>
      </w:pPr>
      <w:r w:rsidRPr="00712F95">
        <w:rPr>
          <w:b/>
        </w:rPr>
        <w:t>Alocação de Custos</w:t>
      </w:r>
    </w:p>
    <w:p w:rsidR="00712F95" w:rsidRDefault="00712F95">
      <w:r>
        <w:t xml:space="preserve">A alocação de custos deve ser baseada em regras claras que enfatizem a relações de causa e efeito mais apropriadas. A implantação desse conceito pode resultar no uso de bases múltiplas de alocações, isto é, diversas bases que não sejam especificamente apenas mão de obra, exigindo que as bases possam ser modificadas à medida que a relação de causa e efeito </w:t>
      </w:r>
      <w:proofErr w:type="gramStart"/>
      <w:r>
        <w:t>mudem</w:t>
      </w:r>
      <w:proofErr w:type="gramEnd"/>
      <w:r>
        <w:t>.</w:t>
      </w:r>
    </w:p>
    <w:p w:rsidR="00712F95" w:rsidRDefault="00712F95">
      <w:pPr>
        <w:rPr>
          <w:b/>
        </w:rPr>
      </w:pPr>
    </w:p>
    <w:p w:rsidR="00712F95" w:rsidRDefault="00712F95">
      <w:pPr>
        <w:rPr>
          <w:b/>
        </w:rPr>
      </w:pPr>
    </w:p>
    <w:p w:rsidR="00712F95" w:rsidRDefault="00712F95">
      <w:pPr>
        <w:rPr>
          <w:b/>
        </w:rPr>
      </w:pPr>
    </w:p>
    <w:p w:rsidR="00712F95" w:rsidRPr="00712F95" w:rsidRDefault="00712F95">
      <w:pPr>
        <w:rPr>
          <w:b/>
        </w:rPr>
      </w:pPr>
      <w:r w:rsidRPr="00712F95">
        <w:rPr>
          <w:b/>
        </w:rPr>
        <w:lastRenderedPageBreak/>
        <w:t>Custeio do Ciclo de Vida</w:t>
      </w:r>
    </w:p>
    <w:p w:rsidR="00712F95" w:rsidRDefault="00712F95">
      <w:r>
        <w:t>O Custeio do ciclo de vida é a acumulação de custos das atividades que acontecem ao longo do ciclo completo de vida do projeto. Isso inclui tanto os investimentos que são realizados (que geralmente ocorrem uma única vez), as incidências durante o desenvolvimento do projeto e nas fases de operações do projeto propriamente dito.</w:t>
      </w:r>
    </w:p>
    <w:p w:rsidR="00712F95" w:rsidRPr="00712F95" w:rsidRDefault="00712F95">
      <w:pPr>
        <w:rPr>
          <w:b/>
        </w:rPr>
      </w:pPr>
      <w:r w:rsidRPr="00712F95">
        <w:rPr>
          <w:b/>
        </w:rPr>
        <w:t>Custos Reais X Custos Padrão</w:t>
      </w:r>
    </w:p>
    <w:p w:rsidR="00712F95" w:rsidRDefault="00712F95">
      <w:r>
        <w:t>Deve haver mediação do progresso na consecução dos custos-alvo estabelecidos. Este acompanhamento é crítico se a empresa espera reduzir os custos ao longo do período estabelecido em contratos específicos.</w:t>
      </w:r>
    </w:p>
    <w:p w:rsidR="00712F95" w:rsidRPr="00712F95" w:rsidRDefault="00712F95">
      <w:pPr>
        <w:rPr>
          <w:b/>
        </w:rPr>
      </w:pPr>
      <w:r w:rsidRPr="00712F95">
        <w:rPr>
          <w:b/>
        </w:rPr>
        <w:t>Automatização no Custeio</w:t>
      </w:r>
    </w:p>
    <w:p w:rsidR="00712F95" w:rsidRDefault="00712F95">
      <w:r>
        <w:t>À medida que a empresa se automatiza, migrando para operações livre de papéis, as checagens e controles necessários para as boas práticas gerenciais devem evoluir para refletir mudanças.</w:t>
      </w:r>
    </w:p>
    <w:p w:rsidR="00712F95" w:rsidRPr="00957507" w:rsidRDefault="00957507" w:rsidP="00957507">
      <w:pPr>
        <w:jc w:val="center"/>
        <w:rPr>
          <w:b/>
        </w:rPr>
      </w:pPr>
      <w:r w:rsidRPr="00957507">
        <w:rPr>
          <w:b/>
        </w:rPr>
        <w:t>Medição de desempenho</w:t>
      </w:r>
    </w:p>
    <w:p w:rsidR="00957507" w:rsidRDefault="00957507">
      <w:r>
        <w:t xml:space="preserve">1 – Medir quão bem as atividades do negócio </w:t>
      </w:r>
      <w:proofErr w:type="gramStart"/>
      <w:r>
        <w:t>estão</w:t>
      </w:r>
      <w:proofErr w:type="gramEnd"/>
      <w:r>
        <w:t xml:space="preserve"> sendo executadas relativamente às metas e objetivos específicos desenvolvidos no processo de planejamento estratégico.</w:t>
      </w:r>
    </w:p>
    <w:p w:rsidR="00957507" w:rsidRDefault="00957507">
      <w:r>
        <w:t>2 – Favorecer a eliminação de desperdício;</w:t>
      </w:r>
    </w:p>
    <w:p w:rsidR="00957507" w:rsidRDefault="00957507">
      <w:r>
        <w:t>3 – A informação deve ser consistente para que seja significativa;</w:t>
      </w:r>
    </w:p>
    <w:p w:rsidR="00957507" w:rsidRDefault="00957507">
      <w:r>
        <w:t>4 – Melhorias de desempenho devem ser entendidas em termos financeiros.</w:t>
      </w:r>
    </w:p>
    <w:p w:rsidR="00957507" w:rsidRPr="00957507" w:rsidRDefault="00957507">
      <w:pPr>
        <w:rPr>
          <w:b/>
        </w:rPr>
      </w:pPr>
      <w:r>
        <w:tab/>
      </w:r>
      <w:r w:rsidRPr="00957507">
        <w:rPr>
          <w:b/>
        </w:rPr>
        <w:t>Você obtém o que você mede.</w:t>
      </w:r>
    </w:p>
    <w:p w:rsidR="00957507" w:rsidRDefault="00957507" w:rsidP="00957507">
      <w:pPr>
        <w:ind w:left="1416"/>
      </w:pPr>
      <w:r>
        <w:t>Os resultados das medições de desempenho devem ser dados a conhecer ao maior número possível de pessoas para encorajar o entendimento de melhorar a eficiência.</w:t>
      </w:r>
    </w:p>
    <w:p w:rsidR="00957507" w:rsidRPr="00957507" w:rsidRDefault="00957507" w:rsidP="00957507">
      <w:pPr>
        <w:jc w:val="center"/>
        <w:rPr>
          <w:b/>
        </w:rPr>
      </w:pPr>
      <w:r w:rsidRPr="00957507">
        <w:rPr>
          <w:b/>
        </w:rPr>
        <w:t>Princípios de Investimento</w:t>
      </w:r>
    </w:p>
    <w:p w:rsidR="00957507" w:rsidRDefault="00957507" w:rsidP="00957507">
      <w:r>
        <w:t>O objetivo é identificar o conjunto ótimo de recursos e atividades que ajudarão o negócio a realizar seus objetivos e metas estabelecidos, com o mínimo de desperdício.</w:t>
      </w:r>
    </w:p>
    <w:p w:rsidR="00957507" w:rsidRPr="00957507" w:rsidRDefault="00957507" w:rsidP="00957507">
      <w:pPr>
        <w:rPr>
          <w:b/>
        </w:rPr>
      </w:pPr>
      <w:r w:rsidRPr="00957507">
        <w:rPr>
          <w:b/>
        </w:rPr>
        <w:t>Mais que um Processo Orçamentário</w:t>
      </w:r>
    </w:p>
    <w:p w:rsidR="00957507" w:rsidRDefault="00957507" w:rsidP="00957507">
      <w:r>
        <w:t>Identificar, avaliar e implantar novas atividades ou abordagens alternativas para executar as atividades existentes, a fim de melhorar o futuro desempenho da empresa.</w:t>
      </w:r>
    </w:p>
    <w:p w:rsidR="00957507" w:rsidRPr="00957507" w:rsidRDefault="00957507" w:rsidP="00957507">
      <w:pPr>
        <w:rPr>
          <w:b/>
        </w:rPr>
      </w:pPr>
      <w:r w:rsidRPr="00957507">
        <w:rPr>
          <w:b/>
        </w:rPr>
        <w:t>Tecnologias Avançadas</w:t>
      </w:r>
    </w:p>
    <w:p w:rsidR="00957507" w:rsidRDefault="00957507" w:rsidP="00957507">
      <w:r>
        <w:t xml:space="preserve">Investimentos em tecnologias avançadas devem ser </w:t>
      </w:r>
      <w:proofErr w:type="gramStart"/>
      <w:r>
        <w:t>guiadas</w:t>
      </w:r>
      <w:proofErr w:type="gramEnd"/>
      <w:r>
        <w:t xml:space="preserve"> por necessidades específicas da estratégia da empresa.</w:t>
      </w:r>
    </w:p>
    <w:p w:rsidR="00DC14B3" w:rsidRDefault="00DC14B3" w:rsidP="00957507"/>
    <w:p w:rsidR="00957507" w:rsidRPr="00DC14B3" w:rsidRDefault="00DC14B3" w:rsidP="00957507">
      <w:pPr>
        <w:rPr>
          <w:b/>
        </w:rPr>
      </w:pPr>
      <w:r w:rsidRPr="00DC14B3">
        <w:rPr>
          <w:b/>
        </w:rPr>
        <w:lastRenderedPageBreak/>
        <w:t>Riscos</w:t>
      </w:r>
    </w:p>
    <w:p w:rsidR="00DC14B3" w:rsidRDefault="00DC14B3" w:rsidP="00957507">
      <w:r>
        <w:t>Cada investimento deve ser analisado do ponto de vista de risco econômico e tecnológico.</w:t>
      </w:r>
    </w:p>
    <w:p w:rsidR="00DC14B3" w:rsidRPr="00DC14B3" w:rsidRDefault="00DC14B3" w:rsidP="00957507">
      <w:pPr>
        <w:rPr>
          <w:b/>
        </w:rPr>
      </w:pPr>
      <w:r w:rsidRPr="00DC14B3">
        <w:rPr>
          <w:b/>
        </w:rPr>
        <w:t>Custo Oportunidade para Investimento</w:t>
      </w:r>
    </w:p>
    <w:p w:rsidR="00DC14B3" w:rsidRPr="00DC14B3" w:rsidRDefault="00DC14B3" w:rsidP="00957507">
      <w:pPr>
        <w:rPr>
          <w:b/>
        </w:rPr>
      </w:pPr>
      <w:r>
        <w:t>A contabilização de atividades deve melhorar o acompanhamento dos dados e das informações necessárias para justificar ou não novos investimentos e acompanhar os resultados de benefícios.</w:t>
      </w:r>
    </w:p>
    <w:p w:rsidR="00DC14B3" w:rsidRPr="00DC14B3" w:rsidRDefault="00DC14B3" w:rsidP="00957507">
      <w:pPr>
        <w:rPr>
          <w:b/>
        </w:rPr>
      </w:pPr>
      <w:r w:rsidRPr="00DC14B3">
        <w:rPr>
          <w:b/>
        </w:rPr>
        <w:t>Redução e/ou Eliminação de Atividades que Não Adicionam Valor (conhecendo o processo)</w:t>
      </w:r>
    </w:p>
    <w:p w:rsidR="00DC14B3" w:rsidRPr="00DC14B3" w:rsidRDefault="00DC14B3" w:rsidP="00957507">
      <w:pPr>
        <w:rPr>
          <w:b/>
        </w:rPr>
      </w:pPr>
      <w:r>
        <w:t>A administração de investimentos deve identificar e avaliar as novas atividades e/ou abordagens alternativas para executar atividades existentes, ou ainda melhorar o desempenho geral da empresa. Projetos potenciais de investimento devem ser avaliados para determinar seu impacto no negocio.</w:t>
      </w:r>
    </w:p>
    <w:p w:rsidR="00DC14B3" w:rsidRDefault="00DC14B3" w:rsidP="00957507">
      <w:pPr>
        <w:rPr>
          <w:b/>
        </w:rPr>
      </w:pPr>
      <w:r w:rsidRPr="00DC14B3">
        <w:rPr>
          <w:b/>
        </w:rPr>
        <w:t>Realização de Custo-Alvo</w:t>
      </w:r>
    </w:p>
    <w:p w:rsidR="00DC14B3" w:rsidRDefault="00DC14B3" w:rsidP="00957507">
      <w:proofErr w:type="gramStart"/>
      <w:r>
        <w:t>???????????????</w:t>
      </w:r>
      <w:proofErr w:type="gramEnd"/>
    </w:p>
    <w:tbl>
      <w:tblPr>
        <w:tblStyle w:val="Tabelacomgrade"/>
        <w:tblW w:w="0" w:type="auto"/>
        <w:jc w:val="center"/>
        <w:tblLayout w:type="fixed"/>
        <w:tblLook w:val="04A0"/>
      </w:tblPr>
      <w:tblGrid>
        <w:gridCol w:w="3067"/>
        <w:gridCol w:w="1152"/>
        <w:gridCol w:w="1701"/>
        <w:gridCol w:w="2126"/>
      </w:tblGrid>
      <w:tr w:rsidR="00722890" w:rsidTr="00722890">
        <w:trPr>
          <w:jc w:val="center"/>
        </w:trPr>
        <w:tc>
          <w:tcPr>
            <w:tcW w:w="3067" w:type="dxa"/>
          </w:tcPr>
          <w:p w:rsidR="00722890" w:rsidRDefault="00722890" w:rsidP="00722890">
            <w:pPr>
              <w:jc w:val="center"/>
            </w:pPr>
            <w:r>
              <w:t>Item</w:t>
            </w:r>
          </w:p>
        </w:tc>
        <w:tc>
          <w:tcPr>
            <w:tcW w:w="1152" w:type="dxa"/>
          </w:tcPr>
          <w:p w:rsidR="00722890" w:rsidRDefault="00722890" w:rsidP="00722890">
            <w:pPr>
              <w:jc w:val="center"/>
            </w:pPr>
            <w:r>
              <w:t>Sigla</w:t>
            </w:r>
          </w:p>
        </w:tc>
        <w:tc>
          <w:tcPr>
            <w:tcW w:w="1701" w:type="dxa"/>
          </w:tcPr>
          <w:p w:rsidR="00722890" w:rsidRDefault="00722890" w:rsidP="00722890">
            <w:pPr>
              <w:jc w:val="center"/>
            </w:pPr>
            <w:r>
              <w:t>Variação típica %</w:t>
            </w:r>
          </w:p>
        </w:tc>
        <w:tc>
          <w:tcPr>
            <w:tcW w:w="2126" w:type="dxa"/>
          </w:tcPr>
          <w:p w:rsidR="00722890" w:rsidRDefault="00722890" w:rsidP="00722890">
            <w:pPr>
              <w:jc w:val="center"/>
            </w:pPr>
            <w:r>
              <w:t>% Ref.</w:t>
            </w:r>
          </w:p>
        </w:tc>
      </w:tr>
      <w:tr w:rsidR="00722890" w:rsidTr="00722890">
        <w:trPr>
          <w:jc w:val="center"/>
        </w:trPr>
        <w:tc>
          <w:tcPr>
            <w:tcW w:w="3067" w:type="dxa"/>
          </w:tcPr>
          <w:p w:rsidR="00722890" w:rsidRDefault="00722890" w:rsidP="00722890">
            <w:pPr>
              <w:jc w:val="center"/>
            </w:pPr>
            <w:r>
              <w:t>MATÉRIA PRIMA</w:t>
            </w:r>
          </w:p>
        </w:tc>
        <w:tc>
          <w:tcPr>
            <w:tcW w:w="1152" w:type="dxa"/>
          </w:tcPr>
          <w:p w:rsidR="00722890" w:rsidRDefault="00722890" w:rsidP="00722890">
            <w:pPr>
              <w:jc w:val="center"/>
            </w:pPr>
            <w:r>
              <w:t>MP</w:t>
            </w:r>
          </w:p>
        </w:tc>
        <w:tc>
          <w:tcPr>
            <w:tcW w:w="1701" w:type="dxa"/>
          </w:tcPr>
          <w:p w:rsidR="00722890" w:rsidRDefault="00722890" w:rsidP="00722890">
            <w:pPr>
              <w:jc w:val="center"/>
            </w:pPr>
            <w:r>
              <w:t>30 – 60</w:t>
            </w:r>
          </w:p>
        </w:tc>
        <w:tc>
          <w:tcPr>
            <w:tcW w:w="2126" w:type="dxa"/>
          </w:tcPr>
          <w:p w:rsidR="00722890" w:rsidRDefault="00722890" w:rsidP="00722890">
            <w:pPr>
              <w:jc w:val="center"/>
            </w:pPr>
            <w:r>
              <w:t>40</w:t>
            </w:r>
          </w:p>
        </w:tc>
      </w:tr>
      <w:tr w:rsidR="00722890" w:rsidTr="00722890">
        <w:trPr>
          <w:jc w:val="center"/>
        </w:trPr>
        <w:tc>
          <w:tcPr>
            <w:tcW w:w="3067" w:type="dxa"/>
          </w:tcPr>
          <w:p w:rsidR="00722890" w:rsidRDefault="00722890" w:rsidP="00722890">
            <w:pPr>
              <w:jc w:val="center"/>
            </w:pPr>
            <w:r>
              <w:t>Material Complementar de Produção</w:t>
            </w:r>
          </w:p>
        </w:tc>
        <w:tc>
          <w:tcPr>
            <w:tcW w:w="1152" w:type="dxa"/>
          </w:tcPr>
          <w:p w:rsidR="00722890" w:rsidRDefault="00722890" w:rsidP="00722890">
            <w:pPr>
              <w:jc w:val="center"/>
            </w:pPr>
            <w:r>
              <w:t>MCP</w:t>
            </w:r>
          </w:p>
        </w:tc>
        <w:tc>
          <w:tcPr>
            <w:tcW w:w="1701" w:type="dxa"/>
          </w:tcPr>
          <w:p w:rsidR="00722890" w:rsidRDefault="00722890" w:rsidP="00722890">
            <w:pPr>
              <w:jc w:val="center"/>
            </w:pPr>
            <w:r>
              <w:t>1 – 2</w:t>
            </w:r>
          </w:p>
        </w:tc>
        <w:tc>
          <w:tcPr>
            <w:tcW w:w="2126" w:type="dxa"/>
          </w:tcPr>
          <w:p w:rsidR="00722890" w:rsidRDefault="00722890" w:rsidP="00722890">
            <w:pPr>
              <w:jc w:val="center"/>
            </w:pPr>
            <w:proofErr w:type="gramStart"/>
            <w:r>
              <w:t>1</w:t>
            </w:r>
            <w:proofErr w:type="gramEnd"/>
          </w:p>
        </w:tc>
      </w:tr>
      <w:tr w:rsidR="00722890" w:rsidTr="00722890">
        <w:trPr>
          <w:jc w:val="center"/>
        </w:trPr>
        <w:tc>
          <w:tcPr>
            <w:tcW w:w="3067" w:type="dxa"/>
          </w:tcPr>
          <w:p w:rsidR="00722890" w:rsidRDefault="00722890" w:rsidP="00722890">
            <w:pPr>
              <w:jc w:val="center"/>
            </w:pPr>
            <w:r>
              <w:t>Mão de Obra Direta</w:t>
            </w:r>
          </w:p>
        </w:tc>
        <w:tc>
          <w:tcPr>
            <w:tcW w:w="1152" w:type="dxa"/>
          </w:tcPr>
          <w:p w:rsidR="00722890" w:rsidRDefault="00722890" w:rsidP="00722890">
            <w:pPr>
              <w:jc w:val="center"/>
            </w:pPr>
            <w:r>
              <w:t>MOD</w:t>
            </w:r>
          </w:p>
        </w:tc>
        <w:tc>
          <w:tcPr>
            <w:tcW w:w="1701" w:type="dxa"/>
          </w:tcPr>
          <w:p w:rsidR="00722890" w:rsidRDefault="00722890" w:rsidP="00722890">
            <w:pPr>
              <w:jc w:val="center"/>
            </w:pPr>
            <w:r>
              <w:t>3 – 8</w:t>
            </w:r>
          </w:p>
        </w:tc>
        <w:tc>
          <w:tcPr>
            <w:tcW w:w="2126" w:type="dxa"/>
          </w:tcPr>
          <w:p w:rsidR="00722890" w:rsidRDefault="00722890" w:rsidP="00722890">
            <w:pPr>
              <w:jc w:val="center"/>
            </w:pPr>
            <w:proofErr w:type="gramStart"/>
            <w:r>
              <w:t>5</w:t>
            </w:r>
            <w:proofErr w:type="gramEnd"/>
          </w:p>
        </w:tc>
      </w:tr>
      <w:tr w:rsidR="00722890" w:rsidTr="00722890">
        <w:trPr>
          <w:jc w:val="center"/>
        </w:trPr>
        <w:tc>
          <w:tcPr>
            <w:tcW w:w="3067" w:type="dxa"/>
          </w:tcPr>
          <w:p w:rsidR="00722890" w:rsidRDefault="00722890" w:rsidP="00722890">
            <w:pPr>
              <w:jc w:val="center"/>
            </w:pPr>
            <w:r>
              <w:t>Despesas Diretas de Fabricação</w:t>
            </w:r>
          </w:p>
        </w:tc>
        <w:tc>
          <w:tcPr>
            <w:tcW w:w="1152" w:type="dxa"/>
          </w:tcPr>
          <w:p w:rsidR="00722890" w:rsidRDefault="00722890" w:rsidP="00722890">
            <w:pPr>
              <w:jc w:val="center"/>
            </w:pPr>
            <w:r>
              <w:t>DDF</w:t>
            </w:r>
          </w:p>
        </w:tc>
        <w:tc>
          <w:tcPr>
            <w:tcW w:w="1701" w:type="dxa"/>
          </w:tcPr>
          <w:p w:rsidR="00722890" w:rsidRDefault="00722890" w:rsidP="00722890">
            <w:pPr>
              <w:jc w:val="center"/>
            </w:pPr>
            <w:r>
              <w:t>5 – 10</w:t>
            </w:r>
          </w:p>
        </w:tc>
        <w:tc>
          <w:tcPr>
            <w:tcW w:w="2126" w:type="dxa"/>
          </w:tcPr>
          <w:p w:rsidR="00722890" w:rsidRDefault="00722890" w:rsidP="00722890">
            <w:pPr>
              <w:jc w:val="center"/>
            </w:pPr>
            <w:proofErr w:type="gramStart"/>
            <w:r>
              <w:t>8</w:t>
            </w:r>
            <w:proofErr w:type="gramEnd"/>
          </w:p>
        </w:tc>
      </w:tr>
      <w:tr w:rsidR="00722890" w:rsidTr="00722890">
        <w:trPr>
          <w:jc w:val="center"/>
        </w:trPr>
        <w:tc>
          <w:tcPr>
            <w:tcW w:w="3067" w:type="dxa"/>
          </w:tcPr>
          <w:p w:rsidR="00722890" w:rsidRDefault="00722890" w:rsidP="00722890">
            <w:pPr>
              <w:jc w:val="center"/>
            </w:pPr>
            <w:r>
              <w:t xml:space="preserve">Despesas Fixas e </w:t>
            </w:r>
            <w:proofErr w:type="spellStart"/>
            <w:r>
              <w:t>Admin</w:t>
            </w:r>
            <w:proofErr w:type="spellEnd"/>
            <w:r>
              <w:t xml:space="preserve"> de Fábrica</w:t>
            </w:r>
          </w:p>
        </w:tc>
        <w:tc>
          <w:tcPr>
            <w:tcW w:w="1152" w:type="dxa"/>
          </w:tcPr>
          <w:p w:rsidR="00722890" w:rsidRDefault="00722890" w:rsidP="00722890">
            <w:pPr>
              <w:jc w:val="center"/>
            </w:pPr>
            <w:r>
              <w:t>DFAF</w:t>
            </w:r>
          </w:p>
        </w:tc>
        <w:tc>
          <w:tcPr>
            <w:tcW w:w="1701" w:type="dxa"/>
          </w:tcPr>
          <w:p w:rsidR="00722890" w:rsidRDefault="00722890" w:rsidP="00722890">
            <w:pPr>
              <w:jc w:val="center"/>
            </w:pPr>
            <w:r>
              <w:t>12 - 20</w:t>
            </w:r>
          </w:p>
        </w:tc>
        <w:tc>
          <w:tcPr>
            <w:tcW w:w="2126" w:type="dxa"/>
          </w:tcPr>
          <w:p w:rsidR="00722890" w:rsidRDefault="00722890" w:rsidP="00722890">
            <w:pPr>
              <w:jc w:val="center"/>
            </w:pPr>
            <w:r>
              <w:t>16</w:t>
            </w:r>
          </w:p>
        </w:tc>
      </w:tr>
      <w:tr w:rsidR="00722890" w:rsidTr="00722890">
        <w:trPr>
          <w:jc w:val="center"/>
        </w:trPr>
        <w:tc>
          <w:tcPr>
            <w:tcW w:w="3067" w:type="dxa"/>
          </w:tcPr>
          <w:p w:rsidR="00722890" w:rsidRDefault="00722890" w:rsidP="00722890">
            <w:pPr>
              <w:jc w:val="center"/>
            </w:pPr>
            <w:proofErr w:type="gramStart"/>
            <w:r>
              <w:t>Custos Direto do Produto</w:t>
            </w:r>
            <w:proofErr w:type="gramEnd"/>
          </w:p>
        </w:tc>
        <w:tc>
          <w:tcPr>
            <w:tcW w:w="1152" w:type="dxa"/>
          </w:tcPr>
          <w:p w:rsidR="00722890" w:rsidRDefault="00722890" w:rsidP="00722890">
            <w:pPr>
              <w:jc w:val="center"/>
            </w:pPr>
            <w:r>
              <w:t>CDP</w:t>
            </w:r>
          </w:p>
        </w:tc>
        <w:tc>
          <w:tcPr>
            <w:tcW w:w="1701" w:type="dxa"/>
          </w:tcPr>
          <w:p w:rsidR="00722890" w:rsidRDefault="00722890" w:rsidP="00722890">
            <w:pPr>
              <w:jc w:val="center"/>
            </w:pPr>
          </w:p>
        </w:tc>
        <w:tc>
          <w:tcPr>
            <w:tcW w:w="2126" w:type="dxa"/>
          </w:tcPr>
          <w:p w:rsidR="00722890" w:rsidRDefault="00722890" w:rsidP="00722890">
            <w:pPr>
              <w:jc w:val="center"/>
            </w:pPr>
            <w:r>
              <w:t>70</w:t>
            </w:r>
          </w:p>
        </w:tc>
      </w:tr>
      <w:tr w:rsidR="00722890" w:rsidTr="00722890">
        <w:trPr>
          <w:jc w:val="center"/>
        </w:trPr>
        <w:tc>
          <w:tcPr>
            <w:tcW w:w="3067" w:type="dxa"/>
          </w:tcPr>
          <w:p w:rsidR="00722890" w:rsidRDefault="00722890" w:rsidP="00722890">
            <w:pPr>
              <w:jc w:val="center"/>
            </w:pPr>
            <w:r>
              <w:t>Margem Bruta de Contribuição</w:t>
            </w:r>
          </w:p>
        </w:tc>
        <w:tc>
          <w:tcPr>
            <w:tcW w:w="1152" w:type="dxa"/>
          </w:tcPr>
          <w:p w:rsidR="00722890" w:rsidRDefault="00722890" w:rsidP="00722890">
            <w:pPr>
              <w:jc w:val="center"/>
            </w:pPr>
            <w:r>
              <w:t>MBC</w:t>
            </w:r>
          </w:p>
        </w:tc>
        <w:tc>
          <w:tcPr>
            <w:tcW w:w="1701" w:type="dxa"/>
          </w:tcPr>
          <w:p w:rsidR="00722890" w:rsidRDefault="00722890" w:rsidP="00722890">
            <w:pPr>
              <w:jc w:val="center"/>
            </w:pPr>
          </w:p>
        </w:tc>
        <w:tc>
          <w:tcPr>
            <w:tcW w:w="2126" w:type="dxa"/>
          </w:tcPr>
          <w:p w:rsidR="00722890" w:rsidRDefault="00722890" w:rsidP="00722890">
            <w:pPr>
              <w:jc w:val="center"/>
            </w:pPr>
            <w:r>
              <w:t>30</w:t>
            </w:r>
          </w:p>
        </w:tc>
      </w:tr>
      <w:tr w:rsidR="00722890" w:rsidTr="00722890">
        <w:trPr>
          <w:jc w:val="center"/>
        </w:trPr>
        <w:tc>
          <w:tcPr>
            <w:tcW w:w="3067" w:type="dxa"/>
          </w:tcPr>
          <w:p w:rsidR="00722890" w:rsidRDefault="00722890" w:rsidP="00722890">
            <w:pPr>
              <w:jc w:val="center"/>
            </w:pPr>
            <w:r>
              <w:t>Faturamento (receitas por vendas do produto)</w:t>
            </w:r>
          </w:p>
        </w:tc>
        <w:tc>
          <w:tcPr>
            <w:tcW w:w="1152" w:type="dxa"/>
          </w:tcPr>
          <w:p w:rsidR="00722890" w:rsidRDefault="00722890" w:rsidP="00722890">
            <w:pPr>
              <w:jc w:val="center"/>
            </w:pPr>
            <w:r>
              <w:t>FAT</w:t>
            </w:r>
          </w:p>
        </w:tc>
        <w:tc>
          <w:tcPr>
            <w:tcW w:w="1701" w:type="dxa"/>
          </w:tcPr>
          <w:p w:rsidR="00722890" w:rsidRDefault="00722890" w:rsidP="00722890">
            <w:pPr>
              <w:jc w:val="center"/>
            </w:pPr>
          </w:p>
        </w:tc>
        <w:tc>
          <w:tcPr>
            <w:tcW w:w="2126" w:type="dxa"/>
          </w:tcPr>
          <w:p w:rsidR="00722890" w:rsidRDefault="00722890" w:rsidP="00722890">
            <w:pPr>
              <w:jc w:val="center"/>
            </w:pPr>
            <w:r>
              <w:t>100</w:t>
            </w:r>
          </w:p>
        </w:tc>
      </w:tr>
    </w:tbl>
    <w:p w:rsidR="00722890" w:rsidRDefault="00722890" w:rsidP="00957507"/>
    <w:p w:rsidR="00BE0810" w:rsidRDefault="00BE0810" w:rsidP="00957507"/>
    <w:p w:rsidR="00BE0810" w:rsidRDefault="00BE0810" w:rsidP="00957507">
      <w:r>
        <w:t>PRIME RATE</w:t>
      </w:r>
      <w:proofErr w:type="gramStart"/>
      <w:r>
        <w:t>?????</w:t>
      </w:r>
      <w:proofErr w:type="gramEnd"/>
    </w:p>
    <w:p w:rsidR="00BE0810" w:rsidRPr="002214EE" w:rsidRDefault="00BE0810" w:rsidP="00957507">
      <w:pPr>
        <w:rPr>
          <w:u w:val="single"/>
        </w:rPr>
      </w:pPr>
    </w:p>
    <w:sectPr w:rsidR="00BE0810" w:rsidRPr="002214EE" w:rsidSect="00277FC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6B25D7"/>
    <w:multiLevelType w:val="hybridMultilevel"/>
    <w:tmpl w:val="CED41E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12F95"/>
    <w:rsid w:val="002214EE"/>
    <w:rsid w:val="00277FC2"/>
    <w:rsid w:val="00712F95"/>
    <w:rsid w:val="00722890"/>
    <w:rsid w:val="00957507"/>
    <w:rsid w:val="00BE0810"/>
    <w:rsid w:val="00DC14B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FC2"/>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12F95"/>
    <w:pPr>
      <w:ind w:left="720"/>
      <w:contextualSpacing/>
    </w:pPr>
  </w:style>
  <w:style w:type="table" w:styleId="Tabelacomgrade">
    <w:name w:val="Table Grid"/>
    <w:basedOn w:val="Tabelanormal"/>
    <w:uiPriority w:val="59"/>
    <w:rsid w:val="007228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663</Words>
  <Characters>3581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Magosso Poveda</dc:creator>
  <cp:lastModifiedBy>Felipe Magosso Poveda</cp:lastModifiedBy>
  <cp:revision>1</cp:revision>
  <dcterms:created xsi:type="dcterms:W3CDTF">2017-03-23T23:59:00Z</dcterms:created>
  <dcterms:modified xsi:type="dcterms:W3CDTF">2017-03-24T01:09:00Z</dcterms:modified>
</cp:coreProperties>
</file>