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8"/>
        </w:rPr>
        <w:t>Luz de Spot no Grafo de Cena com WebGPU (Python)</w:t>
      </w:r>
    </w:p>
    <w:p>
      <w:pPr>
        <w:spacing w:after="480"/>
        <w:jc w:val="center"/>
      </w:pPr>
      <w:r>
        <w:rPr>
          <w:b w:val="0"/>
          <w:sz w:val="24"/>
        </w:rPr>
        <w:t>Felipe Fortini Franco - 2220501</w:t>
      </w:r>
    </w:p>
    <w:p>
      <w:pPr>
        <w:spacing w:after="0"/>
        <w:jc w:val="left"/>
      </w:pPr>
      <w:r>
        <w:rPr>
          <w:b/>
          <w:sz w:val="24"/>
        </w:rPr>
        <w:t>1. Introdução</w:t>
      </w:r>
    </w:p>
    <w:p>
      <w:pPr>
        <w:spacing w:after="120"/>
        <w:jc w:val="both"/>
      </w:pPr>
      <w:r>
        <w:rPr>
          <w:b w:val="0"/>
          <w:sz w:val="24"/>
        </w:rPr>
        <w:t>Este trabalho estende o sistema de iluminação do grafo de cena disponibilizado na disciplina (Python + WebGPU) com uma fonte de luz do tipo spot, implementada na classe SpotLight. A cena da Tarefa 2.1, composta por uma mesa com uma caixa amarela, uma esfera verde apoiada sobre a caixa e uma esfera vermelha apoiada sobre o tampo, foi mantida, substituindo-se a luz pontual por uma luz de spot. A iluminação, incluindo o coeficiente de spot, é calculada por fragmento, e a câmera continua sendo manipulada com o mouse por meio de um arcball.</w:t>
      </w:r>
    </w:p>
    <w:p>
      <w:pPr>
        <w:spacing w:after="0"/>
        <w:jc w:val="left"/>
      </w:pPr>
      <w:r>
        <w:rPr>
          <w:b/>
          <w:sz w:val="24"/>
        </w:rPr>
        <w:t>2. Implementação</w:t>
      </w:r>
    </w:p>
    <w:p>
      <w:pPr>
        <w:spacing w:after="120"/>
        <w:jc w:val="both"/>
      </w:pPr>
      <w:r>
        <w:rPr>
          <w:b w:val="0"/>
          <w:sz w:val="24"/>
        </w:rPr>
        <w:t xml:space="preserve">A classe SpotLight (spotlight.py) deriva da classe Light do framework, assim como PointLight e DirectionalLight. Além das cores ambiente, difusa e especular herdadas, ela armazena a posição </w:t>
      </w:r>
      <w:r>
        <w:rPr>
          <w:b w:val="0"/>
          <w:i/>
          <w:sz w:val="24"/>
        </w:rPr>
        <w:t>s</w:t>
      </w:r>
      <w:r>
        <w:rPr>
          <w:b w:val="0"/>
          <w:sz w:val="24"/>
          <w:vertAlign w:val="subscript"/>
        </w:rPr>
        <w:t>pos</w:t>
      </w:r>
      <w:r>
        <w:rPr>
          <w:b w:val="0"/>
          <w:sz w:val="24"/>
        </w:rPr>
        <w:t xml:space="preserve"> (light_position), a direção </w:t>
      </w:r>
      <w:r>
        <w:rPr>
          <w:b w:val="0"/>
          <w:i/>
          <w:sz w:val="24"/>
        </w:rPr>
        <w:t>s</w:t>
      </w:r>
      <w:r>
        <w:rPr>
          <w:b w:val="0"/>
          <w:sz w:val="24"/>
          <w:vertAlign w:val="subscript"/>
        </w:rPr>
        <w:t>dir</w:t>
      </w:r>
      <w:r>
        <w:rPr>
          <w:b w:val="0"/>
          <w:sz w:val="24"/>
        </w:rPr>
        <w:t xml:space="preserve"> (spot_direction), o ângulo de abertura θ e o expoente de concentração </w:t>
      </w:r>
      <w:r>
        <w:rPr>
          <w:b w:val="0"/>
          <w:i/>
          <w:sz w:val="24"/>
        </w:rPr>
        <w:t>s</w:t>
      </w:r>
      <w:r>
        <w:rPr>
          <w:b w:val="0"/>
          <w:sz w:val="24"/>
          <w:vertAlign w:val="subscript"/>
        </w:rPr>
        <w:t>exp</w:t>
      </w:r>
      <w:r>
        <w:rPr>
          <w:b w:val="0"/>
          <w:sz w:val="24"/>
        </w:rPr>
        <w:t xml:space="preserve"> (spot_exponent). Do ângulo, a classe envia ao shader diretamente cos θ (spot_cutoff), de modo que o teste do cone em cada fragmento se reduz a uma comparação. O método map, chamado pelo framework a cada quadro, leva os parâmetros geométricos ao espaço de iluminação do shader: a posição é transformada como ponto (w = 1) e a direção como vetor (w = 0), sendo depois renormalizada. Como a luz é definida no espaço do mundo e o shader trabalha no espaço da câmera, a matriz usada é a de vista, e o spot permanece fixo na cena quando o ponto de vista é alterado pelo arcball.</w:t>
      </w:r>
    </w:p>
    <w:p>
      <w:pPr>
        <w:spacing w:after="120"/>
        <w:jc w:val="both"/>
      </w:pPr>
      <w:r>
        <w:rPr>
          <w:b w:val="0"/>
          <w:sz w:val="24"/>
        </w:rPr>
        <w:t>O shader lit_spot.wgsl declara esses campos no bloco global de uniformes. O vertex shader transforma a posição e a normal para o espaço da câmera e envia ao fragment shader, sem normalizar, os vetores normal, luz (</w:t>
      </w:r>
      <w:r>
        <w:rPr>
          <w:b w:val="0"/>
          <w:i/>
          <w:sz w:val="24"/>
        </w:rPr>
        <w:t>s</w:t>
      </w:r>
      <w:r>
        <w:rPr>
          <w:b w:val="0"/>
          <w:sz w:val="24"/>
          <w:vertAlign w:val="subscript"/>
        </w:rPr>
        <w:t>pos</w:t>
      </w:r>
      <w:r>
        <w:rPr>
          <w:b w:val="0"/>
          <w:sz w:val="24"/>
        </w:rPr>
        <w:t xml:space="preserve"> − </w:t>
      </w:r>
      <w:r>
        <w:rPr>
          <w:b w:val="0"/>
          <w:i/>
          <w:sz w:val="24"/>
        </w:rPr>
        <w:t>p</w:t>
      </w:r>
      <w:r>
        <w:rPr>
          <w:b w:val="0"/>
          <w:sz w:val="24"/>
        </w:rPr>
        <w:t xml:space="preserve">) e vista. No fragment shader, após a renormalização, calcula-se </w:t>
      </w:r>
      <w:r>
        <w:rPr>
          <w:b w:val="0"/>
          <w:i/>
          <w:sz w:val="24"/>
        </w:rPr>
        <w:t>c</w:t>
      </w:r>
      <w:r>
        <w:rPr>
          <w:b w:val="0"/>
          <w:sz w:val="24"/>
        </w:rPr>
        <w:t xml:space="preserve"> = −</w:t>
      </w:r>
      <w:r>
        <w:rPr>
          <w:b w:val="0"/>
          <w:i/>
          <w:sz w:val="24"/>
        </w:rPr>
        <w:t>l</w:t>
      </w:r>
      <w:r>
        <w:rPr>
          <w:b w:val="0"/>
          <w:sz w:val="24"/>
        </w:rPr>
        <w:t xml:space="preserve"> · </w:t>
      </w:r>
      <w:r>
        <w:rPr>
          <w:b w:val="0"/>
          <w:i/>
          <w:sz w:val="24"/>
        </w:rPr>
        <w:t>s</w:t>
      </w:r>
      <w:r>
        <w:rPr>
          <w:b w:val="0"/>
          <w:sz w:val="24"/>
          <w:vertAlign w:val="subscript"/>
        </w:rPr>
        <w:t>dir</w:t>
      </w:r>
      <w:r>
        <w:rPr>
          <w:b w:val="0"/>
          <w:sz w:val="24"/>
        </w:rPr>
        <w:t xml:space="preserve"> e o coeficiente </w:t>
      </w:r>
      <w:r>
        <w:rPr>
          <w:b w:val="0"/>
          <w:i/>
          <w:sz w:val="24"/>
        </w:rPr>
        <w:t>k</w:t>
      </w:r>
      <w:r>
        <w:rPr>
          <w:b w:val="0"/>
          <w:sz w:val="24"/>
          <w:vertAlign w:val="subscript"/>
        </w:rPr>
        <w:t>spot</w:t>
      </w:r>
      <w:r>
        <w:rPr>
          <w:b w:val="0"/>
          <w:sz w:val="24"/>
        </w:rPr>
        <w:t xml:space="preserve"> = max(</w:t>
      </w:r>
      <w:r>
        <w:rPr>
          <w:b w:val="0"/>
          <w:i/>
          <w:sz w:val="24"/>
        </w:rPr>
        <w:t>c</w:t>
      </w:r>
      <w:r>
        <w:rPr>
          <w:b w:val="0"/>
          <w:sz w:val="24"/>
        </w:rPr>
        <w:t xml:space="preserve">, 0) elevado a </w:t>
      </w:r>
      <w:r>
        <w:rPr>
          <w:b w:val="0"/>
          <w:i/>
          <w:sz w:val="24"/>
        </w:rPr>
        <w:t>s</w:t>
      </w:r>
      <w:r>
        <w:rPr>
          <w:b w:val="0"/>
          <w:sz w:val="24"/>
          <w:vertAlign w:val="subscript"/>
        </w:rPr>
        <w:t>exp</w:t>
      </w:r>
      <w:r>
        <w:rPr>
          <w:b w:val="0"/>
          <w:sz w:val="24"/>
        </w:rPr>
        <w:t xml:space="preserve">, se </w:t>
      </w:r>
      <w:r>
        <w:rPr>
          <w:b w:val="0"/>
          <w:i/>
          <w:sz w:val="24"/>
        </w:rPr>
        <w:t>c</w:t>
      </w:r>
      <w:r>
        <w:rPr>
          <w:b w:val="0"/>
          <w:sz w:val="24"/>
        </w:rPr>
        <w:t xml:space="preserve"> ≥ cos θ, ou 0 caso contrário (para </w:t>
      </w:r>
      <w:r>
        <w:rPr>
          <w:b w:val="0"/>
          <w:i/>
          <w:sz w:val="24"/>
        </w:rPr>
        <w:t>s</w:t>
      </w:r>
      <w:r>
        <w:rPr>
          <w:b w:val="0"/>
          <w:sz w:val="24"/>
          <w:vertAlign w:val="subscript"/>
        </w:rPr>
        <w:t>exp</w:t>
      </w:r>
      <w:r>
        <w:rPr>
          <w:b w:val="0"/>
          <w:sz w:val="24"/>
        </w:rPr>
        <w:t xml:space="preserve"> = 0 o coeficiente vale 1 diretamente, evitando pow(0, 0), que é indefinido em WGSL). O coeficiente multiplica as intensidades difusa e especular da fonte no modelo de Phong; a parcela ambiente não é afetada pelo cone e faz o papel de luz ambiente da cena, mantendo visíveis, com baixa intensidade, as regiões fora do spot.</w:t>
      </w:r>
    </w:p>
    <w:p>
      <w:pPr>
        <w:spacing w:after="120"/>
        <w:jc w:val="both"/>
      </w:pPr>
      <w:r>
        <w:rPr>
          <w:b w:val="0"/>
          <w:sz w:val="24"/>
        </w:rPr>
        <w:t xml:space="preserve">Na cena (main_spot.py), o spot foi posicionado em (1,5; 4,0; 2,0), acima e à frente da mesa, e apontado para o centro do tampo, com abertura θ = 16° e expoente </w:t>
      </w:r>
      <w:r>
        <w:rPr>
          <w:b w:val="0"/>
          <w:i/>
          <w:sz w:val="24"/>
        </w:rPr>
        <w:t>s</w:t>
      </w:r>
      <w:r>
        <w:rPr>
          <w:b w:val="0"/>
          <w:sz w:val="24"/>
          <w:vertAlign w:val="subscript"/>
        </w:rPr>
        <w:t>exp</w:t>
      </w:r>
      <w:r>
        <w:rPr>
          <w:b w:val="0"/>
          <w:sz w:val="24"/>
        </w:rPr>
        <w:t xml:space="preserve"> = 10; a componente ambiente foi reduzida para 0,2. Com esses valores, o cone forma uma elipse iluminada sobre o tampo, e sua borda corta a esfera vermelha, a caixa e a quina da frente da mesa, tornando o efeito claramente visível; o expoente produz uma queda suave de intensidade do centro para a borda do cone (Figura 1). Para a demonstração, as setas para cima e para baixo alteram a abertura e as setas para a direita e para a esquerda alteram o expoente, com os valores correntes exibidos no título da janela; a tecla r restaura a vista e o spot iniciais. Foram mantidos o arcball, o zoom pela roda do mouse e a tecla q para sair.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ot_inici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 w:val="0"/>
                <w:sz w:val="20"/>
              </w:rPr>
              <w:t xml:space="preserve">(a) vista inicial: θ = 16°, </w:t>
            </w:r>
            <w:r>
              <w:rPr>
                <w:b w:val="0"/>
                <w:i/>
                <w:sz w:val="20"/>
              </w:rPr>
              <w:t>s</w:t>
            </w:r>
            <w:r>
              <w:rPr>
                <w:b w:val="0"/>
                <w:sz w:val="20"/>
                <w:vertAlign w:val="subscript"/>
              </w:rPr>
              <w:t>exp</w:t>
            </w:r>
            <w:r>
              <w:rPr>
                <w:b w:val="0"/>
                <w:sz w:val="20"/>
              </w:rPr>
              <w:t xml:space="preserve"> = 10</w:t>
            </w:r>
          </w:p>
        </w:tc>
        <w:tc>
          <w:tcPr>
            <w:tcW w:type="dxa" w:w="468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ot_arcba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 w:val="0"/>
                <w:sz w:val="20"/>
              </w:rPr>
              <w:t>(b) outro ponto de vista, obtido com o arcball</w:t>
            </w:r>
          </w:p>
        </w:tc>
      </w:tr>
      <w:tr>
        <w:tc>
          <w:tcPr>
            <w:tcW w:type="dxa" w:w="468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ot_exp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 w:val="0"/>
                <w:sz w:val="20"/>
              </w:rPr>
              <w:t xml:space="preserve">(c) </w:t>
            </w:r>
            <w:r>
              <w:rPr>
                <w:b w:val="0"/>
                <w:i/>
                <w:sz w:val="20"/>
              </w:rPr>
              <w:t>s</w:t>
            </w:r>
            <w:r>
              <w:rPr>
                <w:b w:val="0"/>
                <w:sz w:val="20"/>
                <w:vertAlign w:val="subscript"/>
              </w:rPr>
              <w:t>exp</w:t>
            </w:r>
            <w:r>
              <w:rPr>
                <w:b w:val="0"/>
                <w:sz w:val="20"/>
              </w:rPr>
              <w:t xml:space="preserve"> = 0: intensidade constante no cone</w:t>
            </w:r>
          </w:p>
        </w:tc>
        <w:tc>
          <w:tcPr>
            <w:tcW w:type="dxa" w:w="468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ot_exp4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b w:val="0"/>
                <w:sz w:val="20"/>
              </w:rPr>
              <w:t xml:space="preserve">(d) </w:t>
            </w:r>
            <w:r>
              <w:rPr>
                <w:b w:val="0"/>
                <w:i/>
                <w:sz w:val="20"/>
              </w:rPr>
              <w:t>s</w:t>
            </w:r>
            <w:r>
              <w:rPr>
                <w:b w:val="0"/>
                <w:sz w:val="20"/>
                <w:vertAlign w:val="subscript"/>
              </w:rPr>
              <w:t>exp</w:t>
            </w:r>
            <w:r>
              <w:rPr>
                <w:b w:val="0"/>
                <w:sz w:val="20"/>
              </w:rPr>
              <w:t xml:space="preserve"> = 40: luz mais concentrada no eixo</w:t>
            </w:r>
          </w:p>
        </w:tc>
      </w:tr>
    </w:tbl>
    <w:p>
      <w:pPr>
        <w:spacing w:after="240"/>
        <w:jc w:val="center"/>
      </w:pPr>
      <w:r>
        <w:rPr>
          <w:b w:val="0"/>
          <w:sz w:val="20"/>
        </w:rPr>
        <w:t>Figura 1: efeito da luz de spot na cena.</w:t>
      </w:r>
    </w:p>
    <w:p>
      <w:pPr>
        <w:spacing w:after="120"/>
        <w:jc w:val="left"/>
      </w:pPr>
      <w:r>
        <w:rPr>
          <w:b/>
          <w:sz w:val="24"/>
        </w:rPr>
        <w:t>Link para vídeo:</w:t>
      </w:r>
    </w:p>
    <w:p>
      <w:pPr>
        <w:spacing w:after="120"/>
        <w:jc w:val="left"/>
      </w:pPr>
      <w:hyperlink r:id="rId13">
        <w:r>
          <w:rPr>
            <w:b/>
            <w:color w:val="1155CC"/>
            <w:u w:val="single"/>
            <w:sz w:val="24"/>
          </w:rPr>
          <w:t>https://youtu.be/4zpMEYXrTXQ</w:t>
        </w:r>
      </w:hyperlink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youtu.be/4zpMEYXrTX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