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40" w:line="3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INSTRUMENTO PARTICULAR DE CONTRAPRESTAÇÃO DE CESSÃO DE DIREITOS, RECONHECIMENTO DE CRÉDITO, GARANTIAS, OPÇÃO DE RECOMPRA E RETROCESSÃO POR LIQUIDEZ E OPÇÃO DE CONVERSÃO EM SOCIEDADE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Pelo presente instrumento particular, as partes abaixo qualificadas: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ALQUIMIA DE VENDAS LTDA.</w:t>
      </w:r>
      <w:r>
        <w:rPr>
          <w:rFonts w:ascii="Arial" w:cs="Arial" w:eastAsia="Arial" w:hAnsi="Arial"/>
          <w:sz w:val="21"/>
          <w:szCs w:val="21"/>
        </w:rPr>
        <w:t xml:space="preserve">, pessoa jurídica de direito privado, inscrita no CNPJ/MF sob o n.º 39.610.442/0001-95, com sede na Rua Francisco Rubim, n.º 269, Loja 01, Bento Ferreira, Vitória, ES, CEP 29.050-680, neste ato representada por seu sócio administrador FABIO SOUZA OLIVEIRA, brasileiro, convivente em união estável, portador da CI n.º 0201461647 DIC/RJ, inscrito no CPF/MF sob o n.º 095.025.367-70, residente e domiciliado na Rua Aleixo Netto, n.º 845, apto. 802, Praia do Canto, Vitória, ES, CEP 29.055-280, doravante denominada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“Alquimia”</w:t>
      </w:r>
      <w:r>
        <w:rPr>
          <w:rFonts w:ascii="Arial" w:cs="Arial" w:eastAsia="Arial" w:hAnsi="Arial"/>
          <w:sz w:val="21"/>
          <w:szCs w:val="21"/>
        </w:rPr>
        <w:t xml:space="preserve"> ou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“Cedente”</w:t>
      </w:r>
      <w:r>
        <w:rPr>
          <w:rFonts w:ascii="Arial" w:cs="Arial" w:eastAsia="Arial" w:hAnsi="Arial"/>
          <w:sz w:val="21"/>
          <w:szCs w:val="21"/>
        </w:rPr>
        <w:t xml:space="preserve">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FELIPE GOMES GOBBI VERZOLA</w:t>
      </w:r>
      <w:r>
        <w:rPr>
          <w:rFonts w:ascii="Arial" w:cs="Arial" w:eastAsia="Arial" w:hAnsi="Arial"/>
          <w:sz w:val="21"/>
          <w:szCs w:val="21"/>
        </w:rPr>
        <w:t xml:space="preserve">, brasileiro, casado, empresário, nascido em 10/07/1990, portador da CI n.º 2.322.851 SSP/ES, inscrito no CPF/MF sob o n.º 129.648.827-62, residente e domiciliado na Avenida Estudante José Júlio de Souza, n.º 1.900, Ed. Mar das Antilhas, apto. 701-A, Praia de Itaparica, Vila Velha, ES, CEP 29.102-010, e-mail felipeggv@gmail.com, doravante denominado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“Felipe”</w:t>
      </w:r>
      <w:r>
        <w:rPr>
          <w:rFonts w:ascii="Arial" w:cs="Arial" w:eastAsia="Arial" w:hAnsi="Arial"/>
          <w:sz w:val="21"/>
          <w:szCs w:val="21"/>
        </w:rPr>
        <w:t xml:space="preserve"> ou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“Cessionário”</w:t>
      </w:r>
      <w:r>
        <w:rPr>
          <w:rFonts w:ascii="Arial" w:cs="Arial" w:eastAsia="Arial" w:hAnsi="Arial"/>
          <w:sz w:val="21"/>
          <w:szCs w:val="21"/>
        </w:rPr>
        <w:t xml:space="preserve">;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têm entre si justo e contratado o presente instrumento (“Instrumento”), que se regerá pelas cláusulas seguintes.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CONSIDERANDOS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(i) em 07 de julho de 2025, a Alquimia celebrou com ASSEMBLAGE PARTICIPAÇÕES LTDA., CNPJ 52.607.131/0001-35 (“Assemblage”), Instrumento Particular de Promessa de Compra e Venda de Imóvel Rural (“Contrato”) tendo por objeto o imóvel rural denominado “Reserva da Mata”, Módulo Rural n.º 9 do Setor Pomar Rosa da Reserva Alta Vista, medindo 20.004,78 m², situado na Rodovia ES-165, Volta Peçanha, Distrito de Aracê, Domingos Martins, ES, objeto da matrícula n.º 17.374 do Cartório de Registro de Imóveis de Domingos Martins, ES (“Imóvel”), pelo preço de R$ 800.000,00, pago mediante entrada de R$ 150.000,00 e 30 parcelas mensais atualizadas pelo CDI;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(ii) nesta data, a Alquimia cedeu ao Felipe a integralidade de sua posição contratual no Contrato, com a anuência da Assemblage, por meio do Instrumento Particular de Cessão de Direitos e Obrigações, com Anuência, e Aditivo (“Instrumento de Cessão”), cujo item 1.3 estabelece que a contraprestação da cessão é ajustada entre Cedente e Cessionário em instrumento apartado, que é o presente Instrumento;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(iii) nesta data, a Alquimia cedeu também ao Felipe sua posição de associada titular da Associação Comunidade da Reserva Alta Vista – ACRAA, vinculada ao Imóvel (“Cessão Associativa”);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(iv) a Alquimia pagou à Assemblage, por conta do preço do Contrato, o valor total de R$ 430.522,87 (quatrocentos e trinta mil, quinhentos e vinte e dois reais e oitenta e sete centavos), discriminado no Anexo I (“Valor Investido”), sendo parte dos pagamentos realizada diretamente por seu sócio Fabio Souza Oliveira e pela sociedade Vendedorismo Solutions Ltda., por conta e ordem da Alquimia, conforme instrumentos próprios de mútuo e reconhecimento de dívida entre estes e a Alquimia, que não são objeto deste Instrumento;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(v) a Alquimia não pretende prosseguir com o pagamento das parcelas vincendas do Contrato e decidiu ceder sua posição pelo custo histórico, sem ágio, oportunidade de negócio que o Felipe aceita; e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(vi) as Partes têm a intenção de desenvolver futuramente, em conjunto, empreendimento no Imóvel, o que fica regulado neste Instrumento por meio da opção de conversão prevista na Cláusula Sexta;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RESOLVEM as Partes celebrar o presente Instrumento, nos seguintes termos: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PRIMEIRA –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1.1. Objeto. </w:t>
      </w:r>
      <w:r>
        <w:rPr>
          <w:rFonts w:ascii="Arial" w:cs="Arial" w:eastAsia="Arial" w:hAnsi="Arial"/>
          <w:sz w:val="21"/>
          <w:szCs w:val="21"/>
        </w:rPr>
        <w:t xml:space="preserve">Este Instrumento tem por objeto (a) fixar a contraprestação devida pelo Cessionário à Cedente pela cessão objeto do Instrumento de Cessão e da Cessão Associativa; (b) reconhecer o saldo credor da Cedente contra o Cessionário; (c) instituir as garantias desse crédito; (d) regular a opção de saída e recompra obrigatória pela Cedente (retrocessão com devolução corrigida por 100% do CDI puro, sem ágio) em caso de restrição de liquidez do Cessionário; e (e) instituir a opção de conversão do crédito em participação no empreendimento a ser desenvolvido no Imóvel.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SEGUNDA – DA CONTRAPRESTAÇÃO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2.1. Valor. </w:t>
      </w:r>
      <w:r>
        <w:rPr>
          <w:rFonts w:ascii="Arial" w:cs="Arial" w:eastAsia="Arial" w:hAnsi="Arial"/>
          <w:sz w:val="21"/>
          <w:szCs w:val="21"/>
        </w:rPr>
        <w:t xml:space="preserve">A contraprestação total da cessão é de R$ 430.522,87 (quatrocentos e trinta mil, quinhentos e vinte e dois reais e oitenta e sete centavos), equivalente ao Valor Investido pela Cedente, sem ágio nem deságio (“Contraprestação”).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2.2. Forma de pagamento. </w:t>
      </w:r>
      <w:r>
        <w:rPr>
          <w:rFonts w:ascii="Arial" w:cs="Arial" w:eastAsia="Arial" w:hAnsi="Arial"/>
          <w:sz w:val="21"/>
          <w:szCs w:val="21"/>
        </w:rPr>
        <w:t xml:space="preserve">A Contraprestação será paga da seguinte forma: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(a)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R$ 150.000,00</w:t>
      </w:r>
      <w:r>
        <w:rPr>
          <w:rFonts w:ascii="Arial" w:cs="Arial" w:eastAsia="Arial" w:hAnsi="Arial"/>
          <w:sz w:val="21"/>
          <w:szCs w:val="21"/>
        </w:rPr>
        <w:t xml:space="preserve"> (cento e cinquenta mil reais), à vista, no ato da assinatura deste Instrumento, mediante transferência para a conta de titularidade da Alquimia, por PIX para a chave CNPJ 39.610.442/0001-95, valendo o comprovante como recibo (“Parcela à Vista”);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(b)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R$ 15.453,57</w:t>
      </w:r>
      <w:r>
        <w:rPr>
          <w:rFonts w:ascii="Arial" w:cs="Arial" w:eastAsia="Arial" w:hAnsi="Arial"/>
          <w:sz w:val="21"/>
          <w:szCs w:val="21"/>
        </w:rPr>
        <w:t xml:space="preserve"> (quinze mil, quatrocentos e cinquenta e três reais e cinquenta e sete centavos), mediante pagamento, pelo Cessionário, por conta e ordem da Cedente, de obrigações de responsabilidade desta: (b.1) R$ 2.593,56, a título de multa e juros moratórios incluídos nos Valores em Aberto definidos no Instrumento de Cessão; e (b.2) R$ 12.860,01, a título dos débitos associativos do Imóvel perante a ACRAA, de fevereiro a outubro de 2026, assumidos na Cessão Associativa (“Parcela em Assunção”); e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(c)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R$ 265.069,30</w:t>
      </w:r>
      <w:r>
        <w:rPr>
          <w:rFonts w:ascii="Arial" w:cs="Arial" w:eastAsia="Arial" w:hAnsi="Arial"/>
          <w:sz w:val="21"/>
          <w:szCs w:val="21"/>
        </w:rPr>
        <w:t xml:space="preserve"> (duzentos e sessenta e cinco mil, sessenta e nove reais e trinta centavos), que o Cessionário reconhece dever à Cedente, nos termos da Cláusula Terceira (“Saldo Credor”).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2.3. Ajuste. </w:t>
      </w:r>
      <w:r>
        <w:rPr>
          <w:rFonts w:ascii="Arial" w:cs="Arial" w:eastAsia="Arial" w:hAnsi="Arial"/>
          <w:sz w:val="21"/>
          <w:szCs w:val="21"/>
        </w:rPr>
        <w:t xml:space="preserve">O Valor Investido inclui o PIX de R$ 730,00 realizado pela Alquimia à Assemblage em 06/11/2025, em complemento da 4ª parcela do Contrato. Caso a Assemblage não o reconheça como pagamento do Contrato, o Valor Investido e a Contraprestação passam a R$ 429.792,87, o valor do item 2.2 (b.1) passa a R$ 2.692,11 e o Saldo Credor passa a R$ 264.240,75, ficando a Cedente com o direito de reaver o referido valor diretamente da Assemblage.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2.4. Custo de aquisição. </w:t>
      </w:r>
      <w:r>
        <w:rPr>
          <w:rFonts w:ascii="Arial" w:cs="Arial" w:eastAsia="Arial" w:hAnsi="Arial"/>
          <w:sz w:val="21"/>
          <w:szCs w:val="21"/>
        </w:rPr>
        <w:t xml:space="preserve">A Cedente declara que a Contraprestação corresponde ao custo de aquisição dos direitos cedidos registrado em sua contabilidade, de modo que a cessão é realizada sem ganho de capital, observada a apuração contábil e fiscal pela própria Cedente.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2.5. Condição. </w:t>
      </w:r>
      <w:r>
        <w:rPr>
          <w:rFonts w:ascii="Arial" w:cs="Arial" w:eastAsia="Arial" w:hAnsi="Arial"/>
          <w:sz w:val="21"/>
          <w:szCs w:val="21"/>
        </w:rPr>
        <w:t xml:space="preserve">A falta de pagamento da Parcela à Vista no ato da assinatura, ou dos Valores em Aberto à Assemblage no prazo do Instrumento de Cessão, autoriza a Cedente a considerar resolvidos este Instrumento e a cessão, sem prejuízo de perdas e danos.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TERCEIRA – DO SALDO CREDOR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3.1. Reconhecimento. </w:t>
      </w:r>
      <w:r>
        <w:rPr>
          <w:rFonts w:ascii="Arial" w:cs="Arial" w:eastAsia="Arial" w:hAnsi="Arial"/>
          <w:sz w:val="21"/>
          <w:szCs w:val="21"/>
        </w:rPr>
        <w:t xml:space="preserve">O Cessionário reconhece, de forma irrevogável e irretratável, ser devedor da Cedente do Saldo Credor, líquido, certo e exigível na forma desta Cláusula, constituindo este Instrumento título executivo extrajudicial (art. 784, III, do Código de Processo Civil).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3.2. Atualização. </w:t>
      </w:r>
      <w:r>
        <w:rPr>
          <w:rFonts w:ascii="Arial" w:cs="Arial" w:eastAsia="Arial" w:hAnsi="Arial"/>
          <w:sz w:val="21"/>
          <w:szCs w:val="21"/>
        </w:rPr>
        <w:t xml:space="preserve">O Saldo Credor será atualizado pela variação do IPCA/IBGE a partir desta data, sem incidência de juros remuneratórios, acrescido dos valores que a Cedente vier a pagar nos termos da Cláusula Quinta.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3.3. Vencimento. </w:t>
      </w:r>
      <w:r>
        <w:rPr>
          <w:rFonts w:ascii="Arial" w:cs="Arial" w:eastAsia="Arial" w:hAnsi="Arial"/>
          <w:sz w:val="21"/>
          <w:szCs w:val="21"/>
        </w:rPr>
        <w:t xml:space="preserve">O Saldo Credor vencerá na primeira das seguintes datas: (a) 30 (trinta) dias após o término do prazo de opção do item 6.1 sem que a opção tenha sido exercida; (b) cessão, promessa de cessão, alienação ou oneração do Imóvel ou dos direitos do Contrato a terceiro sem anuência escrita da Cedente; (c) resolução do Contrato por inadimplemento do Cessionário; (d) recusa em constituir a garantia do item 4.3; ou (e) insolvência ou pedido de recuperação judicial do Cessionário.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3.4. Formas de liquidação. </w:t>
      </w:r>
      <w:r>
        <w:rPr>
          <w:rFonts w:ascii="Arial" w:cs="Arial" w:eastAsia="Arial" w:hAnsi="Arial"/>
          <w:sz w:val="21"/>
          <w:szCs w:val="21"/>
        </w:rPr>
        <w:t xml:space="preserve">O Saldo Credor poderá ser liquidado (a) em dinheiro, total ou parcialmente, a qualquer tempo, sem penalidade; ou (b) por conversão em participação societária, na forma da Cláusula Sexta.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3.5. Mora. </w:t>
      </w:r>
      <w:r>
        <w:rPr>
          <w:rFonts w:ascii="Arial" w:cs="Arial" w:eastAsia="Arial" w:hAnsi="Arial"/>
          <w:sz w:val="21"/>
          <w:szCs w:val="21"/>
        </w:rPr>
        <w:t xml:space="preserve">O atraso no pagamento do Saldo Credor sujeita o Cessionário a multa de 2%, juros de mora de 1% ao mês e honorários advocatícios de 10% em caso de cobrança.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QUARTA – DAS GARANTIAS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4.1. Cessão em garantia da restituição. </w:t>
      </w:r>
      <w:r>
        <w:rPr>
          <w:rFonts w:ascii="Arial" w:cs="Arial" w:eastAsia="Arial" w:hAnsi="Arial"/>
          <w:sz w:val="21"/>
          <w:szCs w:val="21"/>
        </w:rPr>
        <w:t xml:space="preserve">Em garantia do Saldo Credor, o Cessionário cede à Cedente os direitos à restituição de valores que vier a ter contra a Assemblage em caso de resolução do Contrato, inclusive os previstos na Cláusula Terceira do Contrato com a redação dada pelo Instrumento de Cessão, até o limite do Saldo Credor atualizado, obrigando-se a notificar a Assemblage para que realize tais pagamentos diretamente à Cedente.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4.2. Vedação de cessão e oneração. </w:t>
      </w:r>
      <w:r>
        <w:rPr>
          <w:rFonts w:ascii="Arial" w:cs="Arial" w:eastAsia="Arial" w:hAnsi="Arial"/>
          <w:sz w:val="21"/>
          <w:szCs w:val="21"/>
        </w:rPr>
        <w:t xml:space="preserve">Enquanto não liquidado o Saldo Credor, o Cessionário não poderá ceder, prometer ceder, alienar, onerar ou dar em garantia o Imóvel ou os direitos do Contrato sem anuência prévia e escrita da Cedente.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4.3. Alienação fiduciária. </w:t>
      </w:r>
      <w:r>
        <w:rPr>
          <w:rFonts w:ascii="Arial" w:cs="Arial" w:eastAsia="Arial" w:hAnsi="Arial"/>
          <w:sz w:val="21"/>
          <w:szCs w:val="21"/>
        </w:rPr>
        <w:t xml:space="preserve">Quitado o preço do Contrato e outorgada a escritura do Imóvel ao Cessionário, e não liquidado ou convertido o Saldo Credor, o Cessionário constituirá, no mesmo ato ou em até 30 dias, alienação fiduciária do Imóvel em favor da Cedente, nos termos da Lei n.º 9.514/1997, em garantia do Saldo Credor atualizado.</w:t>
      </w:r>
    </w:p>
    <w:p>
      <w:pPr>
        <w:keepNext/>
        <w:spacing w:before="240"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QUINTA – DO BOTÃO DE SAÍDA POR LIQUIDEZ (RECOMPRA OBRIGATÓRIA PELA CEDENTE PELO CDI PURO E RETIRADA DO NOME DO CESSIONÁRIO)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5.1. Comunicação e Carência Inicial até 31/12/2026.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Cessionário enviará à Cedente o comprovante de cada pagamento realizado à Assemblage em até 5 (cinco) dias úteis do vencimento. Observado o período de carência inicial até 31 de dezembro de 2026, caso a partir de 01 de janeiro de 2027 (e antes de a Cedente converter seu crédito em sociedade) o Cessionário decida não prosseguir no negócio por restrição de liquidez ou conveniência financeira, poderá acionar a Opção de Recompra e Saída mediante notificação escrita enviada à Cedente com antecedência mínima de 30 (trinta) dias.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5.2. Obrigação de Recompra e Retirada do Nome do Cessionário em até 30 Dias (Botão de Eject).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Enviada a notificação de saída pelo Cessionário (a qualquer tempo após 31/12/2026), a Cedente — e solidariamente seu sócio administrador Fabio Souza Oliveira — obriga-se a recomprar a posição contratual e assinar, no prazo máximo de 30 (trinta) dias corridos da notificação, os instrumentos de retrocessão reassumindo a titularidade exclusiva do Contrato perante a Assemblage e da posição associativa perante a ACRAA, retirando o nome e o CPF do Cessionário do polo de comprador/devedor do Imóvel e exonerando-o de todas as parcelas vincendas posteriores, sem que caiba ao Cessionário qualquer obrigação de buscar ou efetuar venda a terceiros.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5.3. Valor da Recompra (Devolução Integral Corrigida por 100% do CDI Puro, Sem Ágio e Sem Desvalorização).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Pela Recompra, o Cessionário abre mão de qualquer participação na valorização imobiliária, ágio ou lucro futuro do Imóvel (que permanecerá 100% em benefício da Cedente), e a Cedente obriga-se a restituir ao Cessionário 100% (cem por cento) de todos os valores que saíram efetivamente do bolso do Cessionário até a data da retrocessão — compreendendo: (i) a Parcela à Vista (R$ 150.000,00); (ii) os Valores em Aberto pagos à Assemblage (R$ 80.161,87); (iii) os débitos pagos à ACRAA (R$ 12.860,01); e (iv) todas as parcelas mensais subsequentes pagas à Assemblage e taxas associativas da ACRAA —, sendo cada desembolso atualizado desde a data do respectivo pagamento efetivo até a data da efetiva devolução exclusivamente por 100% (cem por cento) da variação acumulada do CDI (mesmo indexador do Contrato junto à Assemblage), conforme demonstrado nas Tabelas D.1 e D.2 do Anexo I, sem cobrança de ágio adicional e vedada qualquer redução ou desvalorização.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5.4. Extinção Automática do Saldo Credor na Recompra (Vedação Expressa de Duplo Desconto).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Operada a Recompra e a transferência do Contrato de volta para o nome da Cedente, o Saldo Credor previsto na Cláusula Terceira (R$ 265.069,30 ou R$ 264.240,75 conforme Cláusula 2.3) extingue-se automaticamente de pleno direito na mesma data (R$ 0,00), voltando a Cedente a ser titular exclusiva dos R$ 429.792,87 (ou R$ 430.522,87) originalmente pagos por ela à Assemblage e de toda a valorização do Imóvel. Em nenhuma hipótese o Saldo Credor será abatido ou descontado do Valor de Recompra devido ao Cessionário.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5.5. Prazos e Cronograma de Pagamento da Recompra (Entrada à Vista em 30 Dias + 4 Parcelas Mensais).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Cedente pagará o Valor Total de Recompra ao Cessionário observando rigorosamente os seguintes prazos e condições, exemplificados no Anexo I: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(a) Prazo 1 – Em até 30 (trinta) dias corridos da notificação (na assinatura da retrocessão, ou em até 5 dias úteis do recebimento, pela Cedente ou por seu sócio, dos recursos da venda de imóvel próprio, o que ocorrer primeiro):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pagamento à vista do valor integral correspondente à Parcela à Vista atualizada por 100% do CDI acumulado desde 19/10/2026 (R$ 150.000,00 + 100% do CDI), momento em que o Contrato volta para o nome da Cedente e esta reassume 100% dos boletos seguintes junto à Assemblage e à ACRAA;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(b) Prazo 2 – Em 30, 60, 90 e 120 dias contados da assinatura da retrocessão (4 parcelas mensais iguais):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pagamento do saldo remanescente da recompra (correspondente aos R$ 80.161,87 dos Valores em Aberto da Assemblage + R$ 12.860,01 da ACRAA + todas as parcelas mensais pagas pelo Cessionário à Assemblage e à ACRAA) dividido em 4 (quatro) parcelas mensais, iguais e sucessivas, todas corrigidas por 100% do CDI até a data do efetivo crédito na conta do Cessionário, constituindo este Instrumento título executivo extrajudicial (art. 784, III, do CPC) garantido pelos direitos aquisitivos do próprio Imóvel até a quitação da 4ª parcela.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5.6. Direito de Assunção Preventiva pela Cedente.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Caso o Cessionário incorra em atraso superior a 10 (dez) dias no pagamento de qualquer parcela vincenda junto à Assemblage sem ter enviado a notificação do item 5.1, a Cedente poderá (a) quitar a parcela em atraso diretamente à Assemblage, somando esse desembolso ao seu investimento líquido para o Encontro de Contas (Cláusula 6.5), ou (b) convocar a Recompra e Retrocessão nos exatos termos, valores corrigidos pelo CDI e prazos dos itens 5.2 a 5.5.</w:t>
      </w:r>
    </w:p>
    <w:p>
      <w:pPr>
        <w:keepNext/>
        <w:spacing w:before="240"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SEXTA – DA OPÇÃO DE CONVERSÃO E DO EMPREENDIMENTO CONJUNTO (SOCIEDADE 50/50)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6.1. Opção.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Cedente terá a opção, exercível por comunicação escrita no prazo de 1 (um) ano contado da assinatura deste Instrumento (até 19/10/2027), de converter a integralidade do Saldo Credor em participação societária de 50% (cinquenta por cento) em sociedade empresária a ser constituída ou utilizada pelas Partes (“Sociedade”) para ser titular do Imóvel e nele desenvolver empreendimento imobiliário, turístico, hoteleiro ou de eventos.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6.2. Integralização.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Exercida a opção, o Cessionário aportará à Sociedade o Imóvel ou os direitos do Contrato, e a Cedente integralizará sua participação de 50% (cinquenta por cento) mediante conferência e quitação integral do Saldo Credor, operando-se a extinção da dívida da Cláusula Terceira, combinada com a equalização financeira obrigatória prevista nos itens 6.5 e 6.6.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6.3. Regras da Sociedade.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As regras de governança, aportes, distribuição de resultados e saída serão fixadas em contrato social e acordo de sócios a serem celebrados em até 60 (sessenta) dias do exercício da opção, observados, no mínimo: (a) participação igualitária de 50% para cada Parte no capital votante e total; (b) administração conjunta nas matérias relevantes (alienação ou oneração do Imóvel, endividamento, aprovação do projeto e orçamento do empreendimento, entrada de novos sócios); e (c) direito de preferência recíproco e cláusula de compra e venda forçada (shotgun) em caso de impasse grave.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6.4. Não exercício.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Não exercida a opção no prazo de 1 (um) ano, e não tendo havido a Recompra da Cláusula Quinta, o Saldo Credor permanece exigível na forma e no prazo da Cláusula Terceira (vencimento em 19/11/2027).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6.5. Encontro de Contas Simétrico (Balança 50/50).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Para que as participações societárias de 50% (cinquenta por cento) correspondam a desembolsos financeiros exatamente iguais no Imóvel, na constituição da Sociedade as Partes apurarão o Investimento Líquido de cada uma, atualizados pelo mesmo índice (IPCA/IBGE), conforme demonstrado na Tabela E do Anexo I: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(a) Investimento Líquido da Alquimia: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Valor Investido reconhecido pela Assemblage (R$ 429.792,87, ou R$ 430.522,87 conforme item 2.3), MENOS a Parcela à Vista já recebida em dinheiro (R$ 150.000,00) e a Parcela em Assunção paga pelo Felipe (R$ 15.552,12 / R$ 15.453,57), resultando no capital líquido de R$ 264.240,75 (ou R$ 265.069,30), mais eventuais parcelas pagas nos termos do item 5.6;</w:t>
      </w:r>
    </w:p>
    <w:p>
      <w:pPr>
        <w:spacing w:after="140" w:line="300"/>
        <w:ind w:left="3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(b) Investimento Líquido do Felipe: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soma de tudo o que saiu efetivamente do bolso do Felipe para o negócio: Parcela à Vista (R$ 150.000,00) + Valores em Aberto pagos à Assemblage (R$ 80.161,87) + débitos ACRAA (R$ 12.860,01) — que já somam R$ 243.021,88 no Dia 0 — MAIS todas as parcelas mensais vincendas pagas pelo Felipe à Assemblage (da 16ª em diante) e taxas da ACRAA até a data da conversão.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6.6. Equalização Financeira 50/50.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Somam-se os dois investimentos líquidos (item 6.5 'a' e 'b') e divide-se o total por 2 (dois) para obter a Cota Ideal de 50% de cada sócio. A Parte que tiver desembolsado menos pagará à outra a diferença até igualar a Cota Ideal de 50% (metade da diferença entre os dois desembolsos), podendo a Alquimia liquidar esse ajuste mediante: (a) devolução, total ou parcial, da Parcela à Vista ao Felipe; (b) assunção exclusiva das próximas parcelas vincendas da Assemblage até igualar a conta; ou (c) aporte adicional na Sociedade em favor do Felipe.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6.7. Parcelas posteriores.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Equalizados os desembolsos em 50/50, as parcelas restantes do Contrato que vencerem após a constituição da Sociedade serão pagas na proporção de 50% (cinquenta por cento) por cada sócio.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SÉTIMA – DAS DECLARAÇÕES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7.1. Integralidade. </w:t>
      </w:r>
      <w:r>
        <w:rPr>
          <w:rFonts w:ascii="Arial" w:cs="Arial" w:eastAsia="Arial" w:hAnsi="Arial"/>
          <w:sz w:val="21"/>
          <w:szCs w:val="21"/>
        </w:rPr>
        <w:t xml:space="preserve">As Partes declaram que este Instrumento, o Instrumento de Cessão e a Cessão Associativa contêm a totalidade dos ajustes entre elas sobre o Imóvel e os direitos do Contrato, e que não há outro acordo, verbal ou escrito, sobre o mesmo objeto.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7.2. Cessionário. </w:t>
      </w:r>
      <w:r>
        <w:rPr>
          <w:rFonts w:ascii="Arial" w:cs="Arial" w:eastAsia="Arial" w:hAnsi="Arial"/>
          <w:sz w:val="21"/>
          <w:szCs w:val="21"/>
        </w:rPr>
        <w:t xml:space="preserve">O Cessionário declara conhecer o Contrato, o Instrumento de Cessão, a Cessão Associativa e o Anexo I, e dispor de recursos próprios para cumprir as obrigações assumidas.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7.3. Registros. </w:t>
      </w:r>
      <w:r>
        <w:rPr>
          <w:rFonts w:ascii="Arial" w:cs="Arial" w:eastAsia="Arial" w:hAnsi="Arial"/>
          <w:sz w:val="21"/>
          <w:szCs w:val="21"/>
        </w:rPr>
        <w:t xml:space="preserve">A Cedente registrará este Instrumento em sua contabilidade, e as Partes declararão os direitos e obrigações dele decorrentes na forma da legislação fiscal.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OITAVA – DA CONFIDENCIALIDADE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8.1. Confidencialidade. </w:t>
      </w:r>
      <w:r>
        <w:rPr>
          <w:rFonts w:ascii="Arial" w:cs="Arial" w:eastAsia="Arial" w:hAnsi="Arial"/>
          <w:sz w:val="21"/>
          <w:szCs w:val="21"/>
        </w:rPr>
        <w:t xml:space="preserve">As Partes manterão sigilo sobre os termos comerciais deste Instrumento perante terceiros, ressalvadas as divulgações a assessores jurídicos e contábeis, às autoridades fiscais, a órgãos judiciais e administrativos e as exigidas por lei, por ordem judicial ou em processos de que qualquer das Partes ou seus sócios sejam parte.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CLÁUSULA NONA – DISPOSIÇÕES GERAIS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9.1. Irrevogabilidade. </w:t>
      </w:r>
      <w:r>
        <w:rPr>
          <w:rFonts w:ascii="Arial" w:cs="Arial" w:eastAsia="Arial" w:hAnsi="Arial"/>
          <w:sz w:val="21"/>
          <w:szCs w:val="21"/>
        </w:rPr>
        <w:t xml:space="preserve">Este Instrumento é celebrado em caráter irrevogável e irretratável, obrigando as Partes e seus sucessores.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9.2. Registro. </w:t>
      </w:r>
      <w:r>
        <w:rPr>
          <w:rFonts w:ascii="Arial" w:cs="Arial" w:eastAsia="Arial" w:hAnsi="Arial"/>
          <w:sz w:val="21"/>
          <w:szCs w:val="21"/>
        </w:rPr>
        <w:t xml:space="preserve">Qualquer das Partes poderá registrar este Instrumento no Registro de Títulos e Documentos, para conservação e eficácia perante terceiros.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9.3. Tolerância. </w:t>
      </w:r>
      <w:r>
        <w:rPr>
          <w:rFonts w:ascii="Arial" w:cs="Arial" w:eastAsia="Arial" w:hAnsi="Arial"/>
          <w:sz w:val="21"/>
          <w:szCs w:val="21"/>
        </w:rPr>
        <w:t xml:space="preserve">A tolerância de qualquer das Partes não constitui novação, renúncia ou precedente.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9.4. Assinatura eletrônica. </w:t>
      </w:r>
      <w:r>
        <w:rPr>
          <w:rFonts w:ascii="Arial" w:cs="Arial" w:eastAsia="Arial" w:hAnsi="Arial"/>
          <w:sz w:val="21"/>
          <w:szCs w:val="21"/>
        </w:rPr>
        <w:t xml:space="preserve">As Partes admitem a assinatura deste Instrumento por meio eletrônico com certificado ICP-Brasil ou plataforma que garanta autoria e integridade (art. 10, §2º, da MP 2.200-2/2001).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9.5. Foro. </w:t>
      </w:r>
      <w:r>
        <w:rPr>
          <w:rFonts w:ascii="Arial" w:cs="Arial" w:eastAsia="Arial" w:hAnsi="Arial"/>
          <w:sz w:val="21"/>
          <w:szCs w:val="21"/>
        </w:rPr>
        <w:t xml:space="preserve">Fica eleito o foro da Comarca de Vitória, ES, para dirimir quaisquer questões oriundas deste Instrumento.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E, por estarem justas e contratadas, as Partes assinam este Instrumento em 2 (duas) vias de igual teor, na presença de 2 (duas) testemunhas.</w:t>
      </w:r>
    </w:p>
    <w:p>
      <w:pPr>
        <w:spacing w:after="480" w:line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Vitória, ES,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20 de outubro de 2026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line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</w:t>
      </w:r>
    </w:p>
    <w:p>
      <w:pPr>
        <w:spacing w:after="0" w:line="30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ALQUIMIA DE VENDAS LTDA.</w:t>
      </w:r>
    </w:p>
    <w:p>
      <w:pPr>
        <w:spacing w:after="360" w:line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Cedente – p. Fabio Souza Oliveira</w:t>
      </w:r>
    </w:p>
    <w:p>
      <w:pPr>
        <w:spacing w:after="0" w:line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</w:t>
      </w:r>
    </w:p>
    <w:p>
      <w:pPr>
        <w:spacing w:after="0" w:line="30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FELIPE GOMES GOBBI VERZOLA</w:t>
      </w:r>
    </w:p>
    <w:p>
      <w:pPr>
        <w:spacing w:after="360" w:line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Cessionário</w:t>
      </w:r>
    </w:p>
    <w:p>
      <w:pPr>
        <w:spacing w:after="24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Testemunhas: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1. ______________________________  Nome:                         CPF: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2. ______________________________  Nome:                         CPF:</w:t>
      </w:r>
    </w:p>
    <w:p>
      <w:pPr>
        <w:pageBreakBefore/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I – DEMONSTRATIVO DO VALOR INVESTIDO E DA CONTRAPRESTAÇÃO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A. Pagamentos realizados à Assemblage por conta do Contrato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700"/>
        <w:gridCol w:w="1700"/>
      </w:tblGrid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Pago por (por conta da Alquimia)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(R$)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19/05/2025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150.000,00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06/08/2025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21.905,00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09/09/2025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22.185,38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08/10/2025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22.456,05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06/11/2025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22.000,00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4ª parcela (complemento)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06/11/2025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Alquimia de Vendas Ltda.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730,00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12/12/2025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23.020,95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15/01/2026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23.262,67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14/02/2026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23.546,48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16/03/2026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23.819,62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14/04/2026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Fabio Souza Oliveira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24.057,81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18/05/2026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Vendedorismo Solutions Ltda.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24.348,91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15/06/2026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Alquimia de Vendas Ltda.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24.300,00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12ª parcela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15/07/2026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Alquimia de Vendas Ltda.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24.890,00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 Investido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430.522,87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 Composição da Contraprestação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00"/>
      </w:tblGrid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(R$)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(a) Parcela à Vista – Felipe → Alquimia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150.000,00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(b.1) Multa e juros dos Valores em Aberto, de responsabilidade da Alquimia, pagos pelo Felipe à Assemblage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2.593,56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(b.2) Débitos ACRAA fev–out/2026, de responsabilidade da Alquimia, pagos pelo Felipe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12.860,01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(c) Saldo Credor – Felipe deve à Alquimia (Cláusula Terceira)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265.069,30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Contraprestação total = Valor Investido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430.522,87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C. Obrigações assumidas pelo Felipe perante terceiros (não integram a Contraprestação)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00"/>
      </w:tblGrid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(R$)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Principal dos Valores em Aberto do Contrato (Instrumento de Cessão), excluídos multa e juros do item B(b.1)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conforme Instrumento de Cessão</w:t>
            </w:r>
          </w:p>
        </w:tc>
      </w:tr>
      <w:t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Parcelas 16ª a 30ª do Contrato, de 05/11/2026 a 05/01/2028, com atualização pelo CDI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393.924,27 + CDI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before="240" w:after="8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D. Simulações Práticas Vinculantes e Cronograma de Prazos – Botão de Saída / Recompra pelo CDI Puro (Cláusula Quinta)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Regra Geral e Prazos (Itens 5.1 a 5.5):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Após a carência inicial até 31/12/2026, se o Felipe acionar o Botão de Saída: (1) o Felipe ABRE MÃO de qualquer valorização/ágio do terreno (que fica 100% para a Alquimia); (2) em até 30 dias do aviso, o Contrato na Assemblage e na ACRAA SAI DO NOME DO FELIPE e volta para o nome da Alquimia; (3) na mesma data, o Saldo Credor (R$ 264.240,75 / R$ 265.069,30) MORRE AUTOMATICAMENTE (R$ 0,00); e (4) a Alquimia devolve 100% do que saiu do bolso do Felipe corrigido exclusivamente por 100% do CDI (~1,00% a.m.), sendo os R$ 150k + CDI à vista na retrocessão (até 30 dias do aviso) e o restante em 4 parcelas mensais iguais (em 30, 60, 90 e 120 dias da retrocessão):</w:t>
      </w:r>
    </w:p>
    <w:p>
      <w:pPr>
        <w:keepNext/>
        <w:spacing w:before="120" w:after="6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Tabela D.1 – Exemplo 1: Felipe aciona a saída no 3º Mês (19/01/2027)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500"/>
        <w:gridCol w:w="1400"/>
        <w:gridCol w:w="1500"/>
      </w:tblGrid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Desembolso Realizado pelo Felipe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Base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Pago (R$)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 do CDI Puro (~1% a.m.)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de Recompra (R$)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Parcela à Vista (PIX pago à Alquimia)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150.000,00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+ 3,03% (3m)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154.545,15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Quitação Atrasados Assemblage (13ª a 15ª + encargos)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80.161,87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+ 3,03% (3m)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82.590,85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Quitação Condomínio ACRAA em atraso (Fev–Out/26)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19/10/2026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12.860,01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+ 3,03% (3m)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13.249,68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16ª Parcela Assemblage + Condomínio ACRAA (Mês 1)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05/11/2026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27.258,78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+ 2,01% (2m)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27.806,68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17ª Parcela Assemblage + Condomínio ACRAA (Mês 2)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05/12/2026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27.518,97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+ 1,00% (1m)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27.794,16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18ª Parcela Assemblage + Condomínio ACRAA (Mês 3)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05/01/2027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27.781,76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+ 0,50% (0,5m)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27.920,67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A RECEBER PELO FELIPE NA SAÍDA (MÊS 3)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19/01/2027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325.581,39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+ 8.325,80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333.907,19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Ágio / Lucro de Valorização do Terreno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Fica 100% c/ Alquimia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R$ 0,00 cobrado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laudo / sem ágio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da Alquimia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Titularidade do Contrato na Assemblage e ACRAA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Até 18/02/2027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Sai do nome do Felipe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Volta p/ Alquimia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Felipe 100% Exonerado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Saldo Credor da Alquimia (R$ 264.240,75 / R$ 265.069,30)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Extinto (Cl. 5.4)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Extinto na Recompra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0,00 (Cancelado)</w:t>
            </w:r>
          </w:p>
        </w:tc>
      </w:tr>
    </w:tbl>
    <w:p>
      <w:pPr>
        <w:keepNext/>
        <w:spacing w:before="140" w:after="6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Tabela D.2 – Cronograma de Datas e Pagamentos (Exemplos de Saída no 3º Mês e no 6º Mês)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/ Prazo Contratual (Cl. 5.5)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1: Aviso em 19/01/2027 (3º Mês — Desembolsou R$ 325.581,39)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2: Aviso em 19/04/2027 (6º Mês — Desembolsou R$ 409.521,88)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Notificação de Saída (após carência de 31/12/2026)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19/01/2027 (aviso por escrito)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19/04/2027 (aviso por escrito)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Até 30 dias do aviso: Assinatura da Retrocessão + Entrada à Vista (R$ 150k + CDI)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Até 18/02/2027: Terreno sai do nome do Felipe, dívida de R$ 264,2k morre e Alquimia paga R$ 154.545,15 à vista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Até 19/05/2027: Terreno sai do nome do Felipe, dívida de R$ 264,2k morre e Alquimia paga R$ 159.228,00 à vista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1ª Parcela (30 dias após a retrocessão)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18/03/2027: R$ 44.840,51 (+ CDI do período)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19/06/2027: R$ 67.655,50 (+ CDI do período)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2ª Parcela (60 dias após a retrocessão)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18/04/2027: R$ 44.840,51 (+ CDI do período)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19/07/2027: R$ 67.655,50 (+ CDI do período)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3ª Parcela (90 dias após a retrocessão)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18/05/2027: R$ 44.840,51 (+ CDI do período)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19/08/2027: R$ 67.655,50 (+ CDI do período)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4ª e Última Parcela (120 dias após a retrocessão)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18/06/2027: R$ 44.840,51 (+ CDI do período)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19/09/2027: R$ 67.655,50 (+ CDI do período)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DEVOLVIDO AO FELIPE (100% + CDI PURO)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R$ 333.907,19 (+ CDI das 4 parcelas)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R$ 429.850,00 (+ CDI das 4 parcelas)</w:t>
            </w:r>
          </w:p>
        </w:tc>
      </w:tr>
    </w:tbl>
    <w:p>
      <w:pPr>
        <w:keepNext/>
        <w:spacing w:before="200" w:after="80" w:line="2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E. Simulação Prática Vinculante – Balança 50/50 na Conversão em Sociedade (Cláusulas 6.5 e 6.6)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Lógica Matemática do 50/50: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Dos R$ 429.792,87 pagos pela Alquimia até a 12ª parcela, ela já recebeu de volta R$ 150.000,00 no PIX + R$ 15.552,12 de encargos pagos pelo Felipe, restando R$ 264.240,75 líquidos da Alquimia no terreno. Já o Felipe desembolsou R$ 243.021,88 no Dia 0 e paga sozinho ~R$ 27,5 mil/mês da 16ª parcela em diante. Na conversão em 50/50, somam-se os dois líquidos, divide-se por 2, extingue-se o Saldo Credor e a Alquimia equaliza a metade da diferença ao Felipe: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 da Balança 50/50 (Cláusulas 6.5 e 6.6)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E.1: Fábio vira sócio 50/50 no Mês 6 (Abr/2027)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440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E.2: Fábio vira sócio 50/50 no Mês 12 (Out/2027)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Dinheiro Líquido da Alquimia no Terreno (R$ 429.792,87 menos R$ 150.000,00 de PIX e R$ 15.552,12 de encargos = R$ 264.240,75 + IPCA)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R$ 270.186,17 (39% do total)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R$ 276.131,58 (31% do total)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Dinheiro Líquido que saiu do bolso do Felipe (R$ 243.021,88 no Dia 0 + parcelas mensais pagas sozinho pelo Felipe + IPCA)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R$ 418.736,12 (61% do total)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R$ 601.875,15 (69% do total)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Total Já Pago no Terreno pelos Dois Somados (Linha 1 + Linha 2)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R$ 688.922,29 (100%)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R$ 878.006,73 (100%)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Quanto CADA SÓCIO deveria ter pago para ter 50% (Linha 3 ÷ 2)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R$ 344.461,15 cada (50%)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R$ 439.003,37 cada (50%)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O que acontece com a dívida de R$ 264.240,75 do Felipe?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MORRE (R$ 0,00) – vira os R$ 270,1k da Alquimia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MORRE (R$ 0,00) – vira os R$ 276,1k da Alquimia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 Diferença que a Alquimia devolve/equaliza ao Felipe para ficarem 50/50 (Linha 2 menos Linha 4)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Alquimia paga R$ 74.274,97 ao Felipe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Alquimia paga R$ 162.871,78 ao Felipe</w:t>
            </w:r>
          </w:p>
        </w:tc>
      </w:tr>
    </w:tbl>
    <w:sectPr>
      <w:footerReference w:type="default" ns2:id="rId7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Minuta para revisão jurídica –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2026-10-19T16:33:09.579Z</dcterms:created>
  <dcterms:modified xsi:type="dcterms:W3CDTF">2026-10-19T16:33:09.589Z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