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proofErr w:type="spellStart"/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fecha</w:t>
      </w:r>
      <w:r w:rsidR="005276D6" w:rsidRPr="005276D6">
        <w:rPr>
          <w:rFonts w:ascii="Arial" w:hAnsi="Arial" w:cs="Arial"/>
          <w:sz w:val="22"/>
          <w:szCs w:val="22"/>
          <w:lang w:val="es-US" w:eastAsia="es-CO"/>
        </w:rPr>
        <w:t>_oficio</w:t>
      </w:r>
      <w:proofErr w:type="spellEnd"/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}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}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</w:t>
      </w:r>
      <w:proofErr w:type="spellStart"/>
      <w:r w:rsidR="00256984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genero</w:t>
      </w:r>
      <w:r w:rsidR="00E404DF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proofErr w:type="spellEnd"/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}}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proofErr w:type="spellStart"/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nombre</w:t>
      </w:r>
      <w:r w:rsidR="00616A74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proofErr w:type="spellEnd"/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</w:t>
      </w:r>
      <w:proofErr w:type="spellStart"/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direccion</w:t>
      </w:r>
      <w:proofErr w:type="spellEnd"/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}}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localidad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barrio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correo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{{radicado</w:t>
      </w:r>
      <w:r w:rsidR="00535DBB" w:rsidRPr="00D0646A">
        <w:rPr>
          <w:rFonts w:ascii="Arial" w:hAnsi="Arial" w:cs="Arial"/>
          <w:color w:val="000000"/>
          <w:sz w:val="22"/>
          <w:szCs w:val="18"/>
          <w:lang w:eastAsia="es-CO"/>
        </w:rPr>
        <w:t>}} DEL {{</w:t>
      </w:r>
      <w:proofErr w:type="spellStart"/>
      <w:r w:rsidR="00535DBB" w:rsidRPr="00D0646A">
        <w:rPr>
          <w:rFonts w:ascii="Arial" w:hAnsi="Arial" w:cs="Arial"/>
          <w:color w:val="000000"/>
          <w:sz w:val="22"/>
          <w:szCs w:val="18"/>
          <w:lang w:eastAsia="es-CO"/>
        </w:rPr>
        <w:t>fecha_radicado</w:t>
      </w:r>
      <w:proofErr w:type="spellEnd"/>
      <w:r w:rsidR="00CE06F0" w:rsidRPr="00D0646A">
        <w:rPr>
          <w:rFonts w:ascii="Arial" w:hAnsi="Arial" w:cs="Arial"/>
          <w:color w:val="000000"/>
          <w:sz w:val="22"/>
          <w:szCs w:val="18"/>
          <w:lang w:eastAsia="es-CO"/>
        </w:rPr>
        <w:t>}}.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asunto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{{genero}}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nombre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{{</w:t>
      </w:r>
      <w:proofErr w:type="spellStart"/>
      <w:r>
        <w:rPr>
          <w:rFonts w:asciiTheme="minorHAnsi" w:hAnsiTheme="minorHAnsi" w:cstheme="minorHAnsi"/>
          <w:i/>
          <w:iCs/>
          <w:sz w:val="20"/>
          <w:lang w:val="es-ES"/>
        </w:rPr>
        <w:t>petici</w:t>
      </w:r>
      <w:r w:rsidR="005E409E">
        <w:rPr>
          <w:rFonts w:asciiTheme="minorHAnsi" w:hAnsiTheme="minorHAnsi" w:cstheme="minorHAnsi"/>
          <w:i/>
          <w:iCs/>
          <w:sz w:val="20"/>
          <w:lang w:val="es-ES"/>
        </w:rPr>
        <w:t>o</w:t>
      </w:r>
      <w:r>
        <w:rPr>
          <w:rFonts w:asciiTheme="minorHAnsi" w:hAnsiTheme="minorHAnsi" w:cstheme="minorHAnsi"/>
          <w:i/>
          <w:iCs/>
          <w:sz w:val="20"/>
          <w:lang w:val="es-ES"/>
        </w:rPr>
        <w:t>n</w:t>
      </w:r>
      <w:proofErr w:type="spellEnd"/>
      <w:r>
        <w:rPr>
          <w:rFonts w:asciiTheme="minorHAnsi" w:hAnsiTheme="minorHAnsi" w:cstheme="minorHAnsi"/>
          <w:i/>
          <w:iCs/>
          <w:sz w:val="20"/>
          <w:lang w:val="es-ES"/>
        </w:rPr>
        <w:t>}}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</w:t>
      </w:r>
      <w:r w:rsidR="004C47AC">
        <w:rPr>
          <w:rFonts w:asciiTheme="minorHAnsi" w:hAnsiTheme="minorHAnsi" w:cstheme="minorHAnsi"/>
          <w:i/>
          <w:iCs/>
        </w:rPr>
        <w:t>peticion_puntual1</w:t>
      </w:r>
      <w:r>
        <w:rPr>
          <w:rFonts w:asciiTheme="minorHAnsi" w:hAnsiTheme="minorHAnsi" w:cstheme="minorHAnsi"/>
          <w:i/>
          <w:iCs/>
        </w:rPr>
        <w:t>}}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>{{</w:t>
      </w:r>
      <w:proofErr w:type="spellStart"/>
      <w:r>
        <w:rPr>
          <w:rFonts w:ascii="Arial" w:hAnsi="Arial" w:cs="Arial"/>
          <w:sz w:val="22"/>
          <w:szCs w:val="22"/>
          <w:lang w:val="es-ES"/>
        </w:rPr>
        <w:t>genero</w:t>
      </w:r>
      <w:r w:rsidR="00405D85">
        <w:rPr>
          <w:rFonts w:ascii="Arial" w:hAnsi="Arial" w:cs="Arial"/>
          <w:sz w:val="22"/>
          <w:szCs w:val="22"/>
          <w:lang w:val="es-ES"/>
        </w:rPr>
        <w:t>_titulo</w:t>
      </w:r>
      <w:proofErr w:type="spellEnd"/>
      <w:r>
        <w:rPr>
          <w:rFonts w:ascii="Arial" w:hAnsi="Arial" w:cs="Arial"/>
          <w:sz w:val="22"/>
          <w:szCs w:val="22"/>
          <w:lang w:val="es-ES"/>
        </w:rPr>
        <w:t>}} {{nombre}}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