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18 de junio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CARLOS RAMÍREZ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carlosdramirez11@hotmail.com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2024190010061748 Id: 1325510 DEL 4 DE JUNIO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SOLICITUD DE INFORMACIÓN REFERENTE A LA VIGENCIA DE LA RESOLUCIÓN 2130 DE 2004.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Carlos Ramírez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Amablemente, solicito informarme si la Resolución 2130 de 2004, "Por la cual se adicionan y modifican las partes Primera, y Séptima de los reglamentos Aeronáuticos de Colombia y se adopta una Parte Once, sobre disposiciones Ambientales", se encuentra vigente o derogada.
</w:t>
        <w:br/>
        <w:t xml:space="preserve">
</w:t>
        <w:br/>
        <w:t xml:space="preserve">En el evento que no se encuentre vigente, agradezco informarme cómo se debe adelantar los monitoreos de ruido de los aviones.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/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Carlos Ramírez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