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COMUNIDAD RESERVA DE VILLA LUZ</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Cra 85L # 63F-29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Engativa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Villa Luz</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RESERVADEVILLALUZ2021@GMAIL.COM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2024190010072275 Id: 1349050 DEL 26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SOLICITUD DE INFORMACIÓN RESPECTO ACCIONES DE MITIGACIÓN DE RUIDO IMPLEMENTADAS POR AEROCIVIL PARA LA OPERACIÓN DEL AEROPUERTO INTERNACIONAL EL DORADO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Comunidad Reserva de Villa Luz</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Como comunidad nos dirijimos a Ustedes con el mayor respeto con el fin de solicitar informacion o acompañamiento sobre el tema de ruidos por motores de los aviones que hacen uso del aereopuerto el Dorado, entendemos que la cercania al aereopuerto pero tambien que en la comunidad existen personas de todas las edades a los que los ruidos
</w:t>
        <w:br/>
        <w:t xml:space="preserve">les generan molestia fisica y sobre todo cuando pasan aviones a altas horas de la noche o la madrugada. Que se puede hacer para mitigar el impacto del ruido? La aerocivil tiene algun metodo de aseosria a las comunidades para mitigar este problema? Gracias</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Comunidad Reserva de Villa Luz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